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1726"/>
      </w:tblGrid>
      <w:tr w:rsidR="00F907BA" w:rsidRPr="00F907BA" w:rsidTr="00F907BA">
        <w:tc>
          <w:tcPr>
            <w:tcW w:w="0" w:type="auto"/>
            <w:tcBorders>
              <w:top w:val="single" w:sz="8" w:space="0" w:color="000000"/>
              <w:left w:val="single" w:sz="8" w:space="0" w:color="000000"/>
              <w:bottom w:val="single" w:sz="8" w:space="0" w:color="000000"/>
              <w:right w:val="single" w:sz="8" w:space="0" w:color="000000"/>
            </w:tcBorders>
            <w:shd w:val="clear" w:color="auto" w:fill="2D9975"/>
            <w:vAlign w:val="center"/>
            <w:hideMark/>
          </w:tcPr>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Swiss721BT" w:eastAsia="Times New Roman" w:hAnsi="Swiss721BT" w:cs="Times New Roman"/>
                <w:b/>
                <w:bCs/>
                <w:color w:val="FFFFFF"/>
              </w:rPr>
              <w:t xml:space="preserve">Letter to Editor </w:t>
            </w:r>
          </w:p>
        </w:tc>
      </w:tr>
      <w:tr w:rsidR="00F907BA" w:rsidRPr="00F907BA" w:rsidTr="00F907BA">
        <w:tc>
          <w:tcPr>
            <w:tcW w:w="0" w:type="auto"/>
            <w:tcBorders>
              <w:top w:val="single" w:sz="8" w:space="0" w:color="000000"/>
              <w:left w:val="single" w:sz="8" w:space="0" w:color="000000"/>
              <w:bottom w:val="single" w:sz="8" w:space="0" w:color="CCCCCC"/>
              <w:right w:val="single" w:sz="8" w:space="0" w:color="000000"/>
            </w:tcBorders>
            <w:shd w:val="clear" w:color="auto" w:fill="FFFFFF"/>
            <w:vAlign w:val="center"/>
            <w:hideMark/>
          </w:tcPr>
          <w:p w:rsidR="00F907BA" w:rsidRPr="00F907BA" w:rsidRDefault="00F907BA" w:rsidP="00F907BA">
            <w:pPr>
              <w:rPr>
                <w:rFonts w:ascii="Times New Roman" w:eastAsia="Times New Roman" w:hAnsi="Times New Roman" w:cs="Times New Roman"/>
              </w:rPr>
            </w:pPr>
          </w:p>
        </w:tc>
      </w:tr>
    </w:tbl>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Swiss721BT" w:eastAsia="Times New Roman" w:hAnsi="Swiss721BT" w:cs="Times New Roman"/>
          <w:b/>
          <w:bCs/>
          <w:color w:val="2D9975"/>
          <w:sz w:val="40"/>
          <w:szCs w:val="40"/>
        </w:rPr>
        <w:t xml:space="preserve">Large‐scale </w:t>
      </w:r>
      <w:proofErr w:type="spellStart"/>
      <w:r w:rsidRPr="00F907BA">
        <w:rPr>
          <w:rFonts w:ascii="Swiss721BT" w:eastAsia="Times New Roman" w:hAnsi="Swiss721BT" w:cs="Times New Roman"/>
          <w:b/>
          <w:bCs/>
          <w:color w:val="2D9975"/>
          <w:sz w:val="40"/>
          <w:szCs w:val="40"/>
        </w:rPr>
        <w:t>homoeoprophylaxis</w:t>
      </w:r>
      <w:proofErr w:type="spellEnd"/>
      <w:r w:rsidRPr="00F907BA">
        <w:rPr>
          <w:rFonts w:ascii="Swiss721BT" w:eastAsia="Times New Roman" w:hAnsi="Swiss721BT" w:cs="Times New Roman"/>
          <w:b/>
          <w:bCs/>
          <w:color w:val="2D9975"/>
          <w:sz w:val="40"/>
          <w:szCs w:val="40"/>
        </w:rPr>
        <w:t xml:space="preserve"> as an add‐on measure to prevent COVID‐19 disease: Cuban preliminary experiences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MT" w:eastAsia="Times New Roman" w:hAnsi="TimesNewRomanPSMT" w:cs="Times New Roman"/>
          <w:sz w:val="20"/>
          <w:szCs w:val="20"/>
        </w:rPr>
        <w:t xml:space="preserve">Dear Editor,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MT" w:eastAsia="Times New Roman" w:hAnsi="TimesNewRomanPSMT" w:cs="Times New Roman"/>
          <w:sz w:val="20"/>
          <w:szCs w:val="20"/>
        </w:rPr>
        <w:t xml:space="preserve">Cuba has developed previous experiences using homoeopathic interventions to prevent epidemic diseases, such as </w:t>
      </w:r>
      <w:proofErr w:type="gramStart"/>
      <w:r w:rsidRPr="00F907BA">
        <w:rPr>
          <w:rFonts w:ascii="TimesNewRomanPSMT" w:eastAsia="Times New Roman" w:hAnsi="TimesNewRomanPSMT" w:cs="Times New Roman"/>
          <w:sz w:val="20"/>
          <w:szCs w:val="20"/>
        </w:rPr>
        <w:t>leptospirosis.</w:t>
      </w:r>
      <w:r w:rsidRPr="00F907BA">
        <w:rPr>
          <w:rFonts w:ascii="TimesNewRomanPSMT" w:eastAsia="Times New Roman" w:hAnsi="TimesNewRomanPSMT" w:cs="Times New Roman"/>
          <w:position w:val="6"/>
          <w:sz w:val="12"/>
          <w:szCs w:val="12"/>
        </w:rPr>
        <w:t>[</w:t>
      </w:r>
      <w:proofErr w:type="gramEnd"/>
      <w:r w:rsidRPr="00F907BA">
        <w:rPr>
          <w:rFonts w:ascii="TimesNewRomanPSMT" w:eastAsia="Times New Roman" w:hAnsi="TimesNewRomanPSMT" w:cs="Times New Roman"/>
          <w:position w:val="6"/>
          <w:sz w:val="12"/>
          <w:szCs w:val="12"/>
        </w:rPr>
        <w:t xml:space="preserve">1] </w:t>
      </w:r>
      <w:r w:rsidRPr="00F907BA">
        <w:rPr>
          <w:rFonts w:ascii="TimesNewRomanPSMT" w:eastAsia="Times New Roman" w:hAnsi="TimesNewRomanPSMT" w:cs="Times New Roman"/>
          <w:sz w:val="20"/>
          <w:szCs w:val="20"/>
        </w:rPr>
        <w:t>Following the identification of the coronavirus disease COVID</w:t>
      </w:r>
      <w:r w:rsidRPr="00F907BA">
        <w:rPr>
          <w:rFonts w:ascii="Cambria Math" w:eastAsia="Times New Roman" w:hAnsi="Cambria Math" w:cs="Cambria Math"/>
          <w:sz w:val="20"/>
          <w:szCs w:val="20"/>
        </w:rPr>
        <w:t>‐</w:t>
      </w:r>
      <w:r w:rsidRPr="00F907BA">
        <w:rPr>
          <w:rFonts w:ascii="TimesNewRomanPSMT" w:eastAsia="Times New Roman" w:hAnsi="TimesNewRomanPSMT" w:cs="Times New Roman"/>
          <w:sz w:val="20"/>
          <w:szCs w:val="20"/>
        </w:rPr>
        <w:t xml:space="preserve">19 on 11 March 2020, Cuba activated its National Action Plan for Epidemics and convened a National </w:t>
      </w:r>
      <w:proofErr w:type="spellStart"/>
      <w:r w:rsidRPr="00F907BA">
        <w:rPr>
          <w:rFonts w:ascii="TimesNewRomanPSMT" w:eastAsia="Times New Roman" w:hAnsi="TimesNewRomanPSMT" w:cs="Times New Roman"/>
          <w:sz w:val="20"/>
          <w:szCs w:val="20"/>
        </w:rPr>
        <w:t>Intersectorial</w:t>
      </w:r>
      <w:proofErr w:type="spellEnd"/>
      <w:r w:rsidRPr="00F907BA">
        <w:rPr>
          <w:rFonts w:ascii="TimesNewRomanPSMT" w:eastAsia="Times New Roman" w:hAnsi="TimesNewRomanPSMT" w:cs="Times New Roman"/>
          <w:sz w:val="20"/>
          <w:szCs w:val="20"/>
        </w:rPr>
        <w:t xml:space="preserve"> Commission to design measures to protect population health.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MT" w:eastAsia="Times New Roman" w:hAnsi="TimesNewRomanPSMT" w:cs="Times New Roman"/>
          <w:sz w:val="20"/>
          <w:szCs w:val="20"/>
        </w:rPr>
        <w:t xml:space="preserve">The homoeopathic combination remedy </w:t>
      </w:r>
      <w:proofErr w:type="spellStart"/>
      <w:r w:rsidRPr="00F907BA">
        <w:rPr>
          <w:rFonts w:ascii="TimesNewRomanPSMT" w:eastAsia="Times New Roman" w:hAnsi="TimesNewRomanPSMT" w:cs="Times New Roman"/>
          <w:sz w:val="20"/>
          <w:szCs w:val="20"/>
        </w:rPr>
        <w:t>PrevengHo</w:t>
      </w:r>
      <w:r w:rsidRPr="00F907BA">
        <w:rPr>
          <w:rFonts w:ascii="TimesNewRomanPSMT" w:eastAsia="Times New Roman" w:hAnsi="TimesNewRomanPSMT" w:cs="Times New Roman"/>
          <w:position w:val="6"/>
          <w:sz w:val="12"/>
          <w:szCs w:val="12"/>
        </w:rPr>
        <w:t>®</w:t>
      </w:r>
      <w:proofErr w:type="spellEnd"/>
      <w:r w:rsidRPr="00F907BA">
        <w:rPr>
          <w:rFonts w:ascii="Cambria Math" w:eastAsia="Times New Roman" w:hAnsi="Cambria Math" w:cs="Cambria Math"/>
          <w:sz w:val="20"/>
          <w:szCs w:val="20"/>
        </w:rPr>
        <w:t>‐</w:t>
      </w:r>
      <w:proofErr w:type="spellStart"/>
      <w:r w:rsidRPr="00F907BA">
        <w:rPr>
          <w:rFonts w:ascii="TimesNewRomanPSMT" w:eastAsia="Times New Roman" w:hAnsi="TimesNewRomanPSMT" w:cs="Times New Roman"/>
          <w:sz w:val="20"/>
          <w:szCs w:val="20"/>
        </w:rPr>
        <w:t>Vir</w:t>
      </w:r>
      <w:proofErr w:type="spellEnd"/>
      <w:r w:rsidRPr="00F907BA">
        <w:rPr>
          <w:rFonts w:ascii="TimesNewRomanPSMT" w:eastAsia="Times New Roman" w:hAnsi="TimesNewRomanPSMT" w:cs="Times New Roman"/>
          <w:sz w:val="20"/>
          <w:szCs w:val="20"/>
        </w:rPr>
        <w:t xml:space="preserve"> was included in the Cuban National Protocol for COVID</w:t>
      </w:r>
      <w:r w:rsidRPr="00F907BA">
        <w:rPr>
          <w:rFonts w:ascii="Cambria Math" w:eastAsia="Times New Roman" w:hAnsi="Cambria Math" w:cs="Cambria Math"/>
          <w:sz w:val="20"/>
          <w:szCs w:val="20"/>
        </w:rPr>
        <w:t>‐</w:t>
      </w:r>
      <w:r w:rsidRPr="00F907BA">
        <w:rPr>
          <w:rFonts w:ascii="TimesNewRomanPSMT" w:eastAsia="Times New Roman" w:hAnsi="TimesNewRomanPSMT" w:cs="Times New Roman"/>
          <w:sz w:val="20"/>
          <w:szCs w:val="20"/>
        </w:rPr>
        <w:t xml:space="preserve">19 as a preventive </w:t>
      </w:r>
      <w:proofErr w:type="gramStart"/>
      <w:r w:rsidRPr="00F907BA">
        <w:rPr>
          <w:rFonts w:ascii="TimesNewRomanPSMT" w:eastAsia="Times New Roman" w:hAnsi="TimesNewRomanPSMT" w:cs="Times New Roman"/>
          <w:sz w:val="20"/>
          <w:szCs w:val="20"/>
        </w:rPr>
        <w:t>medication.</w:t>
      </w:r>
      <w:r w:rsidRPr="00F907BA">
        <w:rPr>
          <w:rFonts w:ascii="TimesNewRomanPSMT" w:eastAsia="Times New Roman" w:hAnsi="TimesNewRomanPSMT" w:cs="Times New Roman"/>
          <w:position w:val="6"/>
          <w:sz w:val="12"/>
          <w:szCs w:val="12"/>
        </w:rPr>
        <w:t>[</w:t>
      </w:r>
      <w:proofErr w:type="gramEnd"/>
      <w:r w:rsidRPr="00F907BA">
        <w:rPr>
          <w:rFonts w:ascii="TimesNewRomanPSMT" w:eastAsia="Times New Roman" w:hAnsi="TimesNewRomanPSMT" w:cs="Times New Roman"/>
          <w:position w:val="6"/>
          <w:sz w:val="12"/>
          <w:szCs w:val="12"/>
        </w:rPr>
        <w:t xml:space="preserve">3] </w:t>
      </w:r>
      <w:r w:rsidRPr="00F907BA">
        <w:rPr>
          <w:rFonts w:ascii="TimesNewRomanPSMT" w:eastAsia="Times New Roman" w:hAnsi="TimesNewRomanPSMT" w:cs="Times New Roman"/>
          <w:sz w:val="20"/>
          <w:szCs w:val="20"/>
        </w:rPr>
        <w:t xml:space="preserve">It is produced by AICA Laboratories, from </w:t>
      </w:r>
      <w:proofErr w:type="spellStart"/>
      <w:r w:rsidRPr="00F907BA">
        <w:rPr>
          <w:rFonts w:ascii="TimesNewRomanPSMT" w:eastAsia="Times New Roman" w:hAnsi="TimesNewRomanPSMT" w:cs="Times New Roman"/>
          <w:sz w:val="20"/>
          <w:szCs w:val="20"/>
        </w:rPr>
        <w:t>BioCubaFarma</w:t>
      </w:r>
      <w:proofErr w:type="spellEnd"/>
      <w:r w:rsidRPr="00F907BA">
        <w:rPr>
          <w:rFonts w:ascii="TimesNewRomanPSMT" w:eastAsia="Times New Roman" w:hAnsi="TimesNewRomanPSMT" w:cs="Times New Roman"/>
          <w:sz w:val="20"/>
          <w:szCs w:val="20"/>
        </w:rPr>
        <w:t xml:space="preserve"> Enterprise Group, and it was registered (H</w:t>
      </w:r>
      <w:r w:rsidRPr="00F907BA">
        <w:rPr>
          <w:rFonts w:ascii="Cambria Math" w:eastAsia="Times New Roman" w:hAnsi="Cambria Math" w:cs="Cambria Math"/>
          <w:sz w:val="20"/>
          <w:szCs w:val="20"/>
        </w:rPr>
        <w:t>‐</w:t>
      </w:r>
      <w:r w:rsidRPr="00F907BA">
        <w:rPr>
          <w:rFonts w:ascii="TimesNewRomanPSMT" w:eastAsia="Times New Roman" w:hAnsi="TimesNewRomanPSMT" w:cs="Times New Roman"/>
          <w:sz w:val="20"/>
          <w:szCs w:val="20"/>
        </w:rPr>
        <w:t>20012</w:t>
      </w:r>
      <w:r w:rsidRPr="00F907BA">
        <w:rPr>
          <w:rFonts w:ascii="Cambria Math" w:eastAsia="Times New Roman" w:hAnsi="Cambria Math" w:cs="Cambria Math"/>
          <w:sz w:val="20"/>
          <w:szCs w:val="20"/>
        </w:rPr>
        <w:t>‐</w:t>
      </w:r>
      <w:r w:rsidRPr="00F907BA">
        <w:rPr>
          <w:rFonts w:ascii="TimesNewRomanPSMT" w:eastAsia="Times New Roman" w:hAnsi="TimesNewRomanPSMT" w:cs="Times New Roman"/>
          <w:sz w:val="20"/>
          <w:szCs w:val="20"/>
        </w:rPr>
        <w:t xml:space="preserve">V03) in correspondence with the regulatory provisions established by the Cuban regulatory agency (CECMED, for its Spanish acronym). </w:t>
      </w:r>
      <w:proofErr w:type="spellStart"/>
      <w:r w:rsidRPr="00F907BA">
        <w:rPr>
          <w:rFonts w:ascii="TimesNewRomanPSMT" w:eastAsia="Times New Roman" w:hAnsi="TimesNewRomanPSMT" w:cs="Times New Roman"/>
          <w:sz w:val="20"/>
          <w:szCs w:val="20"/>
        </w:rPr>
        <w:t>PrevengHo</w:t>
      </w:r>
      <w:proofErr w:type="spellEnd"/>
      <w:r w:rsidRPr="00F907BA">
        <w:rPr>
          <w:rFonts w:ascii="TimesNewRomanPSMT" w:eastAsia="Times New Roman" w:hAnsi="TimesNewRomanPSMT" w:cs="Times New Roman"/>
          <w:position w:val="6"/>
          <w:sz w:val="12"/>
          <w:szCs w:val="12"/>
        </w:rPr>
        <w:t>®</w:t>
      </w:r>
      <w:r w:rsidRPr="00F907BA">
        <w:rPr>
          <w:rFonts w:ascii="Cambria Math" w:eastAsia="Times New Roman" w:hAnsi="Cambria Math" w:cs="Cambria Math"/>
          <w:sz w:val="20"/>
          <w:szCs w:val="20"/>
        </w:rPr>
        <w:t>‐</w:t>
      </w:r>
      <w:proofErr w:type="spellStart"/>
      <w:r w:rsidRPr="00F907BA">
        <w:rPr>
          <w:rFonts w:ascii="TimesNewRomanPSMT" w:eastAsia="Times New Roman" w:hAnsi="TimesNewRomanPSMT" w:cs="Times New Roman"/>
          <w:sz w:val="20"/>
          <w:szCs w:val="20"/>
        </w:rPr>
        <w:t>Vir</w:t>
      </w:r>
      <w:proofErr w:type="spellEnd"/>
      <w:r w:rsidRPr="00F907BA">
        <w:rPr>
          <w:rFonts w:ascii="TimesNewRomanPSMT" w:eastAsia="Times New Roman" w:hAnsi="TimesNewRomanPSMT" w:cs="Times New Roman"/>
          <w:sz w:val="20"/>
          <w:szCs w:val="20"/>
        </w:rPr>
        <w:t xml:space="preserve"> is recommended for the prevention of influenza, flu, dengue and emerging viral infections, recommending its use under conditions of epidemiological risk without limiting the application of other medications. It contains 30 CH or 200 CK homoeopathic potencies of </w:t>
      </w:r>
      <w:r w:rsidRPr="00F907BA">
        <w:rPr>
          <w:rFonts w:ascii="TimesNewRomanPS" w:eastAsia="Times New Roman" w:hAnsi="TimesNewRomanPS" w:cs="Times New Roman"/>
          <w:i/>
          <w:iCs/>
          <w:sz w:val="20"/>
          <w:szCs w:val="20"/>
        </w:rPr>
        <w:t xml:space="preserve">Anas </w:t>
      </w:r>
      <w:proofErr w:type="spellStart"/>
      <w:r w:rsidRPr="00F907BA">
        <w:rPr>
          <w:rFonts w:ascii="TimesNewRomanPS" w:eastAsia="Times New Roman" w:hAnsi="TimesNewRomanPS" w:cs="Times New Roman"/>
          <w:i/>
          <w:iCs/>
          <w:sz w:val="20"/>
          <w:szCs w:val="20"/>
        </w:rPr>
        <w:t>barbariae</w:t>
      </w:r>
      <w:proofErr w:type="spellEnd"/>
      <w:r w:rsidRPr="00F907BA">
        <w:rPr>
          <w:rFonts w:ascii="TimesNewRomanPSMT" w:eastAsia="Times New Roman" w:hAnsi="TimesNewRomanPSMT" w:cs="Times New Roman"/>
          <w:sz w:val="20"/>
          <w:szCs w:val="20"/>
        </w:rPr>
        <w:t xml:space="preserve">, </w:t>
      </w:r>
      <w:r w:rsidRPr="00F907BA">
        <w:rPr>
          <w:rFonts w:ascii="TimesNewRomanPS" w:eastAsia="Times New Roman" w:hAnsi="TimesNewRomanPS" w:cs="Times New Roman"/>
          <w:i/>
          <w:iCs/>
          <w:sz w:val="20"/>
          <w:szCs w:val="20"/>
        </w:rPr>
        <w:t>Arsenicum album</w:t>
      </w:r>
      <w:r w:rsidRPr="00F907BA">
        <w:rPr>
          <w:rFonts w:ascii="TimesNewRomanPSMT" w:eastAsia="Times New Roman" w:hAnsi="TimesNewRomanPSMT" w:cs="Times New Roman"/>
          <w:sz w:val="20"/>
          <w:szCs w:val="20"/>
        </w:rPr>
        <w:t xml:space="preserve">, </w:t>
      </w:r>
      <w:proofErr w:type="spellStart"/>
      <w:r w:rsidRPr="00F907BA">
        <w:rPr>
          <w:rFonts w:ascii="TimesNewRomanPS" w:eastAsia="Times New Roman" w:hAnsi="TimesNewRomanPS" w:cs="Times New Roman"/>
          <w:i/>
          <w:iCs/>
          <w:sz w:val="20"/>
          <w:szCs w:val="20"/>
        </w:rPr>
        <w:t>Bacillinum</w:t>
      </w:r>
      <w:proofErr w:type="spellEnd"/>
      <w:r w:rsidRPr="00F907BA">
        <w:rPr>
          <w:rFonts w:ascii="TimesNewRomanPSMT" w:eastAsia="Times New Roman" w:hAnsi="TimesNewRomanPSMT" w:cs="Times New Roman"/>
          <w:sz w:val="20"/>
          <w:szCs w:val="20"/>
        </w:rPr>
        <w:t xml:space="preserve">, </w:t>
      </w:r>
      <w:proofErr w:type="spellStart"/>
      <w:r w:rsidRPr="00F907BA">
        <w:rPr>
          <w:rFonts w:ascii="TimesNewRomanPS" w:eastAsia="Times New Roman" w:hAnsi="TimesNewRomanPS" w:cs="Times New Roman"/>
          <w:i/>
          <w:iCs/>
          <w:sz w:val="20"/>
          <w:szCs w:val="20"/>
        </w:rPr>
        <w:t>Baptisia</w:t>
      </w:r>
      <w:proofErr w:type="spellEnd"/>
      <w:r w:rsidRPr="00F907BA">
        <w:rPr>
          <w:rFonts w:ascii="TimesNewRomanPS" w:eastAsia="Times New Roman" w:hAnsi="TimesNewRomanPS" w:cs="Times New Roman"/>
          <w:i/>
          <w:iCs/>
          <w:sz w:val="20"/>
          <w:szCs w:val="20"/>
        </w:rPr>
        <w:t xml:space="preserve"> </w:t>
      </w:r>
      <w:proofErr w:type="spellStart"/>
      <w:r w:rsidRPr="00F907BA">
        <w:rPr>
          <w:rFonts w:ascii="TimesNewRomanPS" w:eastAsia="Times New Roman" w:hAnsi="TimesNewRomanPS" w:cs="Times New Roman"/>
          <w:i/>
          <w:iCs/>
          <w:sz w:val="20"/>
          <w:szCs w:val="20"/>
        </w:rPr>
        <w:t>tinctoria</w:t>
      </w:r>
      <w:proofErr w:type="spellEnd"/>
      <w:r w:rsidRPr="00F907BA">
        <w:rPr>
          <w:rFonts w:ascii="TimesNewRomanPSMT" w:eastAsia="Times New Roman" w:hAnsi="TimesNewRomanPSMT" w:cs="Times New Roman"/>
          <w:sz w:val="20"/>
          <w:szCs w:val="20"/>
        </w:rPr>
        <w:t xml:space="preserve">, </w:t>
      </w:r>
      <w:r w:rsidRPr="00F907BA">
        <w:rPr>
          <w:rFonts w:ascii="TimesNewRomanPS" w:eastAsia="Times New Roman" w:hAnsi="TimesNewRomanPS" w:cs="Times New Roman"/>
          <w:i/>
          <w:iCs/>
          <w:sz w:val="20"/>
          <w:szCs w:val="20"/>
        </w:rPr>
        <w:t>Bryonia alba</w:t>
      </w:r>
      <w:r w:rsidRPr="00F907BA">
        <w:rPr>
          <w:rFonts w:ascii="TimesNewRomanPSMT" w:eastAsia="Times New Roman" w:hAnsi="TimesNewRomanPSMT" w:cs="Times New Roman"/>
          <w:sz w:val="20"/>
          <w:szCs w:val="20"/>
        </w:rPr>
        <w:t xml:space="preserve">, </w:t>
      </w:r>
      <w:proofErr w:type="spellStart"/>
      <w:r w:rsidRPr="00F907BA">
        <w:rPr>
          <w:rFonts w:ascii="TimesNewRomanPS" w:eastAsia="Times New Roman" w:hAnsi="TimesNewRomanPS" w:cs="Times New Roman"/>
          <w:i/>
          <w:iCs/>
          <w:sz w:val="20"/>
          <w:szCs w:val="20"/>
        </w:rPr>
        <w:t>Crotalus</w:t>
      </w:r>
      <w:proofErr w:type="spellEnd"/>
      <w:r w:rsidRPr="00F907BA">
        <w:rPr>
          <w:rFonts w:ascii="TimesNewRomanPS" w:eastAsia="Times New Roman" w:hAnsi="TimesNewRomanPS" w:cs="Times New Roman"/>
          <w:i/>
          <w:iCs/>
          <w:sz w:val="20"/>
          <w:szCs w:val="20"/>
        </w:rPr>
        <w:t xml:space="preserve"> </w:t>
      </w:r>
      <w:proofErr w:type="spellStart"/>
      <w:r w:rsidRPr="00F907BA">
        <w:rPr>
          <w:rFonts w:ascii="TimesNewRomanPS" w:eastAsia="Times New Roman" w:hAnsi="TimesNewRomanPS" w:cs="Times New Roman"/>
          <w:i/>
          <w:iCs/>
          <w:sz w:val="20"/>
          <w:szCs w:val="20"/>
        </w:rPr>
        <w:t>horridus</w:t>
      </w:r>
      <w:proofErr w:type="spellEnd"/>
      <w:r w:rsidRPr="00F907BA">
        <w:rPr>
          <w:rFonts w:ascii="TimesNewRomanPSMT" w:eastAsia="Times New Roman" w:hAnsi="TimesNewRomanPSMT" w:cs="Times New Roman"/>
          <w:sz w:val="20"/>
          <w:szCs w:val="20"/>
        </w:rPr>
        <w:t xml:space="preserve">, </w:t>
      </w:r>
      <w:r w:rsidRPr="00F907BA">
        <w:rPr>
          <w:rFonts w:ascii="TimesNewRomanPS" w:eastAsia="Times New Roman" w:hAnsi="TimesNewRomanPS" w:cs="Times New Roman"/>
          <w:i/>
          <w:iCs/>
          <w:sz w:val="20"/>
          <w:szCs w:val="20"/>
        </w:rPr>
        <w:t>Eupatorium perfoliatum</w:t>
      </w:r>
      <w:r w:rsidRPr="00F907BA">
        <w:rPr>
          <w:rFonts w:ascii="TimesNewRomanPSMT" w:eastAsia="Times New Roman" w:hAnsi="TimesNewRomanPSMT" w:cs="Times New Roman"/>
          <w:sz w:val="20"/>
          <w:szCs w:val="20"/>
        </w:rPr>
        <w:t xml:space="preserve">, </w:t>
      </w:r>
      <w:r w:rsidRPr="00F907BA">
        <w:rPr>
          <w:rFonts w:ascii="TimesNewRomanPS" w:eastAsia="Times New Roman" w:hAnsi="TimesNewRomanPS" w:cs="Times New Roman"/>
          <w:i/>
          <w:iCs/>
          <w:sz w:val="20"/>
          <w:szCs w:val="20"/>
        </w:rPr>
        <w:t>Gelsemium sempervirens</w:t>
      </w:r>
      <w:r w:rsidRPr="00F907BA">
        <w:rPr>
          <w:rFonts w:ascii="TimesNewRomanPSMT" w:eastAsia="Times New Roman" w:hAnsi="TimesNewRomanPSMT" w:cs="Times New Roman"/>
          <w:sz w:val="20"/>
          <w:szCs w:val="20"/>
        </w:rPr>
        <w:t xml:space="preserve">, </w:t>
      </w:r>
      <w:r w:rsidRPr="00F907BA">
        <w:rPr>
          <w:rFonts w:ascii="TimesNewRomanPS" w:eastAsia="Times New Roman" w:hAnsi="TimesNewRomanPS" w:cs="Times New Roman"/>
          <w:i/>
          <w:iCs/>
          <w:sz w:val="20"/>
          <w:szCs w:val="20"/>
        </w:rPr>
        <w:t>Influenzinum</w:t>
      </w:r>
      <w:r w:rsidRPr="00F907BA">
        <w:rPr>
          <w:rFonts w:ascii="TimesNewRomanPSMT" w:eastAsia="Times New Roman" w:hAnsi="TimesNewRomanPSMT" w:cs="Times New Roman"/>
          <w:sz w:val="20"/>
          <w:szCs w:val="20"/>
        </w:rPr>
        <w:t xml:space="preserve">, </w:t>
      </w:r>
      <w:proofErr w:type="spellStart"/>
      <w:r w:rsidRPr="00F907BA">
        <w:rPr>
          <w:rFonts w:ascii="TimesNewRomanPS" w:eastAsia="Times New Roman" w:hAnsi="TimesNewRomanPS" w:cs="Times New Roman"/>
          <w:i/>
          <w:iCs/>
          <w:sz w:val="20"/>
          <w:szCs w:val="20"/>
        </w:rPr>
        <w:t>Pneumococinum</w:t>
      </w:r>
      <w:proofErr w:type="spellEnd"/>
      <w:r w:rsidRPr="00F907BA">
        <w:rPr>
          <w:rFonts w:ascii="TimesNewRomanPSMT" w:eastAsia="Times New Roman" w:hAnsi="TimesNewRomanPSMT" w:cs="Times New Roman"/>
          <w:sz w:val="20"/>
          <w:szCs w:val="20"/>
        </w:rPr>
        <w:t xml:space="preserve">, </w:t>
      </w:r>
      <w:proofErr w:type="spellStart"/>
      <w:r w:rsidRPr="00F907BA">
        <w:rPr>
          <w:rFonts w:ascii="TimesNewRomanPS" w:eastAsia="Times New Roman" w:hAnsi="TimesNewRomanPS" w:cs="Times New Roman"/>
          <w:i/>
          <w:iCs/>
          <w:sz w:val="20"/>
          <w:szCs w:val="20"/>
        </w:rPr>
        <w:t>Pyrogenium</w:t>
      </w:r>
      <w:proofErr w:type="spellEnd"/>
      <w:r w:rsidRPr="00F907BA">
        <w:rPr>
          <w:rFonts w:ascii="TimesNewRomanPSMT" w:eastAsia="Times New Roman" w:hAnsi="TimesNewRomanPSMT" w:cs="Times New Roman"/>
          <w:sz w:val="20"/>
          <w:szCs w:val="20"/>
        </w:rPr>
        <w:t xml:space="preserve">, </w:t>
      </w:r>
      <w:proofErr w:type="spellStart"/>
      <w:r w:rsidRPr="00F907BA">
        <w:rPr>
          <w:rFonts w:ascii="TimesNewRomanPS" w:eastAsia="Times New Roman" w:hAnsi="TimesNewRomanPS" w:cs="Times New Roman"/>
          <w:i/>
          <w:iCs/>
          <w:sz w:val="20"/>
          <w:szCs w:val="20"/>
        </w:rPr>
        <w:t>Tuberculinum</w:t>
      </w:r>
      <w:proofErr w:type="spellEnd"/>
      <w:r w:rsidRPr="00F907BA">
        <w:rPr>
          <w:rFonts w:ascii="TimesNewRomanPS" w:eastAsia="Times New Roman" w:hAnsi="TimesNewRomanPS" w:cs="Times New Roman"/>
          <w:i/>
          <w:iCs/>
          <w:sz w:val="20"/>
          <w:szCs w:val="20"/>
        </w:rPr>
        <w:t xml:space="preserve"> </w:t>
      </w:r>
      <w:proofErr w:type="spellStart"/>
      <w:r w:rsidRPr="00F907BA">
        <w:rPr>
          <w:rFonts w:ascii="TimesNewRomanPS" w:eastAsia="Times New Roman" w:hAnsi="TimesNewRomanPS" w:cs="Times New Roman"/>
          <w:i/>
          <w:iCs/>
          <w:sz w:val="20"/>
          <w:szCs w:val="20"/>
        </w:rPr>
        <w:t>aviaire</w:t>
      </w:r>
      <w:proofErr w:type="spellEnd"/>
      <w:r w:rsidRPr="00F907BA">
        <w:rPr>
          <w:rFonts w:ascii="TimesNewRomanPS" w:eastAsia="Times New Roman" w:hAnsi="TimesNewRomanPS" w:cs="Times New Roman"/>
          <w:i/>
          <w:iCs/>
          <w:sz w:val="20"/>
          <w:szCs w:val="20"/>
        </w:rPr>
        <w:t xml:space="preserve"> </w:t>
      </w:r>
      <w:r w:rsidRPr="00F907BA">
        <w:rPr>
          <w:rFonts w:ascii="TimesNewRomanPSMT" w:eastAsia="Times New Roman" w:hAnsi="TimesNewRomanPSMT" w:cs="Times New Roman"/>
          <w:sz w:val="20"/>
          <w:szCs w:val="20"/>
        </w:rPr>
        <w:t>and Bach flower coadjutants on a 30% hydro</w:t>
      </w:r>
      <w:r w:rsidRPr="00F907BA">
        <w:rPr>
          <w:rFonts w:ascii="Cambria Math" w:eastAsia="Times New Roman" w:hAnsi="Cambria Math" w:cs="Cambria Math"/>
          <w:sz w:val="20"/>
          <w:szCs w:val="20"/>
        </w:rPr>
        <w:t>‐</w:t>
      </w:r>
      <w:r w:rsidRPr="00F907BA">
        <w:rPr>
          <w:rFonts w:ascii="TimesNewRomanPSMT" w:eastAsia="Times New Roman" w:hAnsi="TimesNewRomanPSMT" w:cs="Times New Roman"/>
          <w:sz w:val="20"/>
          <w:szCs w:val="20"/>
        </w:rPr>
        <w:t xml:space="preserve">alcoholic </w:t>
      </w:r>
      <w:proofErr w:type="gramStart"/>
      <w:r w:rsidRPr="00F907BA">
        <w:rPr>
          <w:rFonts w:ascii="TimesNewRomanPSMT" w:eastAsia="Times New Roman" w:hAnsi="TimesNewRomanPSMT" w:cs="Times New Roman"/>
          <w:sz w:val="20"/>
          <w:szCs w:val="20"/>
        </w:rPr>
        <w:t>solution.</w:t>
      </w:r>
      <w:r w:rsidRPr="00F907BA">
        <w:rPr>
          <w:rFonts w:ascii="TimesNewRomanPSMT" w:eastAsia="Times New Roman" w:hAnsi="TimesNewRomanPSMT" w:cs="Times New Roman"/>
          <w:position w:val="6"/>
          <w:sz w:val="12"/>
          <w:szCs w:val="12"/>
        </w:rPr>
        <w:t>[</w:t>
      </w:r>
      <w:proofErr w:type="gramEnd"/>
      <w:r w:rsidRPr="00F907BA">
        <w:rPr>
          <w:rFonts w:ascii="TimesNewRomanPSMT" w:eastAsia="Times New Roman" w:hAnsi="TimesNewRomanPSMT" w:cs="Times New Roman"/>
          <w:position w:val="6"/>
          <w:sz w:val="12"/>
          <w:szCs w:val="12"/>
        </w:rPr>
        <w:t xml:space="preserve">4] </w:t>
      </w:r>
    </w:p>
    <w:p w:rsidR="00F907BA" w:rsidRPr="00F907BA" w:rsidRDefault="00F907BA" w:rsidP="00F907BA">
      <w:pPr>
        <w:spacing w:before="100" w:beforeAutospacing="1" w:after="100" w:afterAutospacing="1"/>
        <w:rPr>
          <w:rFonts w:ascii="Times New Roman" w:eastAsia="Times New Roman" w:hAnsi="Times New Roman" w:cs="Times New Roman"/>
        </w:rPr>
      </w:pPr>
      <w:proofErr w:type="spellStart"/>
      <w:r w:rsidRPr="00F907BA">
        <w:rPr>
          <w:rFonts w:ascii="TimesNewRomanPSMT" w:eastAsia="Times New Roman" w:hAnsi="TimesNewRomanPSMT" w:cs="Times New Roman"/>
          <w:sz w:val="20"/>
          <w:szCs w:val="20"/>
        </w:rPr>
        <w:t>PrevengHo</w:t>
      </w:r>
      <w:proofErr w:type="spellEnd"/>
      <w:r w:rsidRPr="00F907BA">
        <w:rPr>
          <w:rFonts w:ascii="TimesNewRomanPSMT" w:eastAsia="Times New Roman" w:hAnsi="TimesNewRomanPSMT" w:cs="Times New Roman"/>
          <w:position w:val="6"/>
          <w:sz w:val="12"/>
          <w:szCs w:val="12"/>
        </w:rPr>
        <w:t>®</w:t>
      </w:r>
      <w:r w:rsidRPr="00F907BA">
        <w:rPr>
          <w:rFonts w:ascii="Cambria Math" w:eastAsia="Times New Roman" w:hAnsi="Cambria Math" w:cs="Cambria Math"/>
          <w:sz w:val="20"/>
          <w:szCs w:val="20"/>
        </w:rPr>
        <w:t>‐</w:t>
      </w:r>
      <w:proofErr w:type="spellStart"/>
      <w:r w:rsidRPr="00F907BA">
        <w:rPr>
          <w:rFonts w:ascii="TimesNewRomanPSMT" w:eastAsia="Times New Roman" w:hAnsi="TimesNewRomanPSMT" w:cs="Times New Roman"/>
          <w:sz w:val="20"/>
          <w:szCs w:val="20"/>
        </w:rPr>
        <w:t>Vir</w:t>
      </w:r>
      <w:proofErr w:type="spellEnd"/>
      <w:r w:rsidRPr="00F907BA">
        <w:rPr>
          <w:rFonts w:ascii="TimesNewRomanPSMT" w:eastAsia="Times New Roman" w:hAnsi="TimesNewRomanPSMT" w:cs="Times New Roman"/>
          <w:sz w:val="20"/>
          <w:szCs w:val="20"/>
        </w:rPr>
        <w:t xml:space="preserve"> is an add</w:t>
      </w:r>
      <w:r w:rsidRPr="00F907BA">
        <w:rPr>
          <w:rFonts w:ascii="Cambria Math" w:eastAsia="Times New Roman" w:hAnsi="Cambria Math" w:cs="Cambria Math"/>
          <w:sz w:val="20"/>
          <w:szCs w:val="20"/>
        </w:rPr>
        <w:t>‐</w:t>
      </w:r>
      <w:r w:rsidRPr="00F907BA">
        <w:rPr>
          <w:rFonts w:ascii="TimesNewRomanPSMT" w:eastAsia="Times New Roman" w:hAnsi="TimesNewRomanPSMT" w:cs="Times New Roman"/>
          <w:sz w:val="20"/>
          <w:szCs w:val="20"/>
        </w:rPr>
        <w:t>on measure to prevent COVID</w:t>
      </w:r>
      <w:r w:rsidRPr="00F907BA">
        <w:rPr>
          <w:rFonts w:ascii="Cambria Math" w:eastAsia="Times New Roman" w:hAnsi="Cambria Math" w:cs="Cambria Math"/>
          <w:sz w:val="20"/>
          <w:szCs w:val="20"/>
        </w:rPr>
        <w:t>‐</w:t>
      </w:r>
      <w:r w:rsidRPr="00F907BA">
        <w:rPr>
          <w:rFonts w:ascii="TimesNewRomanPSMT" w:eastAsia="Times New Roman" w:hAnsi="TimesNewRomanPSMT" w:cs="Times New Roman"/>
          <w:sz w:val="20"/>
          <w:szCs w:val="20"/>
        </w:rPr>
        <w:t xml:space="preserve">19. It is not intended to substitute any other recommendation such as social distancing, hand cleaning and mouth and nose coverage with mask. Posology is of 5 drops, taken on day 1, day 2, day 3 and day 10 of the </w:t>
      </w:r>
      <w:proofErr w:type="gramStart"/>
      <w:r w:rsidRPr="00F907BA">
        <w:rPr>
          <w:rFonts w:ascii="TimesNewRomanPSMT" w:eastAsia="Times New Roman" w:hAnsi="TimesNewRomanPSMT" w:cs="Times New Roman"/>
          <w:sz w:val="20"/>
          <w:szCs w:val="20"/>
        </w:rPr>
        <w:t>intervention.</w:t>
      </w:r>
      <w:r w:rsidRPr="00F907BA">
        <w:rPr>
          <w:rFonts w:ascii="TimesNewRomanPSMT" w:eastAsia="Times New Roman" w:hAnsi="TimesNewRomanPSMT" w:cs="Times New Roman"/>
          <w:position w:val="6"/>
          <w:sz w:val="12"/>
          <w:szCs w:val="12"/>
        </w:rPr>
        <w:t>[</w:t>
      </w:r>
      <w:proofErr w:type="gramEnd"/>
      <w:r w:rsidRPr="00F907BA">
        <w:rPr>
          <w:rFonts w:ascii="TimesNewRomanPSMT" w:eastAsia="Times New Roman" w:hAnsi="TimesNewRomanPSMT" w:cs="Times New Roman"/>
          <w:position w:val="6"/>
          <w:sz w:val="12"/>
          <w:szCs w:val="12"/>
        </w:rPr>
        <w:t xml:space="preserve">3]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MT" w:eastAsia="Times New Roman" w:hAnsi="TimesNewRomanPSMT" w:cs="Times New Roman"/>
          <w:sz w:val="20"/>
          <w:szCs w:val="20"/>
        </w:rPr>
        <w:t xml:space="preserve">Two groups were established to </w:t>
      </w:r>
      <w:proofErr w:type="spellStart"/>
      <w:r w:rsidRPr="00F907BA">
        <w:rPr>
          <w:rFonts w:ascii="TimesNewRomanPSMT" w:eastAsia="Times New Roman" w:hAnsi="TimesNewRomanPSMT" w:cs="Times New Roman"/>
          <w:sz w:val="20"/>
          <w:szCs w:val="20"/>
        </w:rPr>
        <w:t>organise</w:t>
      </w:r>
      <w:proofErr w:type="spellEnd"/>
      <w:r w:rsidRPr="00F907BA">
        <w:rPr>
          <w:rFonts w:ascii="TimesNewRomanPSMT" w:eastAsia="Times New Roman" w:hAnsi="TimesNewRomanPSMT" w:cs="Times New Roman"/>
          <w:sz w:val="20"/>
          <w:szCs w:val="20"/>
        </w:rPr>
        <w:t xml:space="preserve"> the largest </w:t>
      </w:r>
      <w:proofErr w:type="spellStart"/>
      <w:r w:rsidRPr="00F907BA">
        <w:rPr>
          <w:rFonts w:ascii="TimesNewRomanPSMT" w:eastAsia="Times New Roman" w:hAnsi="TimesNewRomanPSMT" w:cs="Times New Roman"/>
          <w:sz w:val="20"/>
          <w:szCs w:val="20"/>
        </w:rPr>
        <w:t>homoeoprophylactic</w:t>
      </w:r>
      <w:proofErr w:type="spellEnd"/>
      <w:r w:rsidRPr="00F907BA">
        <w:rPr>
          <w:rFonts w:ascii="TimesNewRomanPSMT" w:eastAsia="Times New Roman" w:hAnsi="TimesNewRomanPSMT" w:cs="Times New Roman"/>
          <w:sz w:val="20"/>
          <w:szCs w:val="20"/>
        </w:rPr>
        <w:t xml:space="preserve"> (HP) campaign ever conducted in Cuba. The first group included individuals (patients, interns, semi</w:t>
      </w:r>
      <w:r w:rsidRPr="00F907BA">
        <w:rPr>
          <w:rFonts w:ascii="Cambria Math" w:eastAsia="Times New Roman" w:hAnsi="Cambria Math" w:cs="Cambria Math"/>
          <w:sz w:val="20"/>
          <w:szCs w:val="20"/>
        </w:rPr>
        <w:t>‐</w:t>
      </w:r>
      <w:r w:rsidRPr="00F907BA">
        <w:rPr>
          <w:rFonts w:ascii="TimesNewRomanPSMT" w:eastAsia="Times New Roman" w:hAnsi="TimesNewRomanPSMT" w:cs="Times New Roman"/>
          <w:sz w:val="20"/>
          <w:szCs w:val="20"/>
        </w:rPr>
        <w:t xml:space="preserve">interns and workers) from </w:t>
      </w:r>
      <w:proofErr w:type="spellStart"/>
      <w:r w:rsidRPr="00F907BA">
        <w:rPr>
          <w:rFonts w:ascii="TimesNewRomanPSMT" w:eastAsia="Times New Roman" w:hAnsi="TimesNewRomanPSMT" w:cs="Times New Roman"/>
          <w:sz w:val="20"/>
          <w:szCs w:val="20"/>
        </w:rPr>
        <w:t>psychopedagogical</w:t>
      </w:r>
      <w:proofErr w:type="spellEnd"/>
      <w:r w:rsidRPr="00F907BA">
        <w:rPr>
          <w:rFonts w:ascii="TimesNewRomanPSMT" w:eastAsia="Times New Roman" w:hAnsi="TimesNewRomanPSMT" w:cs="Times New Roman"/>
          <w:sz w:val="20"/>
          <w:szCs w:val="20"/>
        </w:rPr>
        <w:t xml:space="preserve"> medical </w:t>
      </w:r>
      <w:proofErr w:type="spellStart"/>
      <w:r w:rsidRPr="00F907BA">
        <w:rPr>
          <w:rFonts w:ascii="TimesNewRomanPSMT" w:eastAsia="Times New Roman" w:hAnsi="TimesNewRomanPSMT" w:cs="Times New Roman"/>
          <w:sz w:val="20"/>
          <w:szCs w:val="20"/>
        </w:rPr>
        <w:t>centres</w:t>
      </w:r>
      <w:proofErr w:type="spellEnd"/>
      <w:r w:rsidRPr="00F907BA">
        <w:rPr>
          <w:rFonts w:ascii="TimesNewRomanPSMT" w:eastAsia="Times New Roman" w:hAnsi="TimesNewRomanPSMT" w:cs="Times New Roman"/>
          <w:sz w:val="20"/>
          <w:szCs w:val="20"/>
        </w:rPr>
        <w:t xml:space="preserve">, elderly homes, community </w:t>
      </w:r>
      <w:proofErr w:type="spellStart"/>
      <w:r w:rsidRPr="00F907BA">
        <w:rPr>
          <w:rFonts w:ascii="TimesNewRomanPSMT" w:eastAsia="Times New Roman" w:hAnsi="TimesNewRomanPSMT" w:cs="Times New Roman"/>
          <w:sz w:val="20"/>
          <w:szCs w:val="20"/>
        </w:rPr>
        <w:t>centres</w:t>
      </w:r>
      <w:proofErr w:type="spellEnd"/>
      <w:r w:rsidRPr="00F907BA">
        <w:rPr>
          <w:rFonts w:ascii="TimesNewRomanPSMT" w:eastAsia="Times New Roman" w:hAnsi="TimesNewRomanPSMT" w:cs="Times New Roman"/>
          <w:sz w:val="20"/>
          <w:szCs w:val="20"/>
        </w:rPr>
        <w:t xml:space="preserve"> for the elderly, psychiatric hospitals and pregnant women’s homes where doses were administered by health professionals. The second group was the general Cuban population over 6 months of age, taking as a priority those municipalities with the largest incidence of COVID</w:t>
      </w:r>
      <w:r w:rsidRPr="00F907BA">
        <w:rPr>
          <w:rFonts w:ascii="Cambria Math" w:eastAsia="Times New Roman" w:hAnsi="Cambria Math" w:cs="Cambria Math"/>
          <w:sz w:val="20"/>
          <w:szCs w:val="20"/>
        </w:rPr>
        <w:t>‐</w:t>
      </w:r>
      <w:r w:rsidRPr="00F907BA">
        <w:rPr>
          <w:rFonts w:ascii="TimesNewRomanPSMT" w:eastAsia="Times New Roman" w:hAnsi="TimesNewRomanPSMT" w:cs="Times New Roman"/>
          <w:sz w:val="20"/>
          <w:szCs w:val="20"/>
        </w:rPr>
        <w:t>19, and primary healthcare workers distributed the bottles to families for self</w:t>
      </w:r>
      <w:r w:rsidRPr="00F907BA">
        <w:rPr>
          <w:rFonts w:ascii="Cambria Math" w:eastAsia="Times New Roman" w:hAnsi="Cambria Math" w:cs="Cambria Math"/>
          <w:sz w:val="20"/>
          <w:szCs w:val="20"/>
        </w:rPr>
        <w:t>‐</w:t>
      </w:r>
      <w:r w:rsidRPr="00F907BA">
        <w:rPr>
          <w:rFonts w:ascii="TimesNewRomanPSMT" w:eastAsia="Times New Roman" w:hAnsi="TimesNewRomanPSMT" w:cs="Times New Roman"/>
          <w:sz w:val="20"/>
          <w:szCs w:val="20"/>
        </w:rPr>
        <w:t xml:space="preserve">administration. Active pharmacovigilance was oriented to detect suspected adverse drug reactions (ADRs).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MT" w:eastAsia="Times New Roman" w:hAnsi="TimesNewRomanPSMT" w:cs="Times New Roman"/>
          <w:sz w:val="20"/>
          <w:szCs w:val="20"/>
        </w:rPr>
        <w:t xml:space="preserve">The HP campaign started on 1 April, and a total of 45,914 individuals from the included health facilities received </w:t>
      </w:r>
      <w:proofErr w:type="spellStart"/>
      <w:r w:rsidRPr="00F907BA">
        <w:rPr>
          <w:rFonts w:ascii="TimesNewRomanPSMT" w:eastAsia="Times New Roman" w:hAnsi="TimesNewRomanPSMT" w:cs="Times New Roman"/>
          <w:sz w:val="20"/>
          <w:szCs w:val="20"/>
        </w:rPr>
        <w:t>PrevengHo</w:t>
      </w:r>
      <w:proofErr w:type="spellEnd"/>
      <w:r w:rsidRPr="00F907BA">
        <w:rPr>
          <w:rFonts w:ascii="TimesNewRomanPSMT" w:eastAsia="Times New Roman" w:hAnsi="TimesNewRomanPSMT" w:cs="Times New Roman"/>
          <w:position w:val="6"/>
          <w:sz w:val="12"/>
          <w:szCs w:val="12"/>
        </w:rPr>
        <w:t>®</w:t>
      </w:r>
      <w:r w:rsidRPr="00F907BA">
        <w:rPr>
          <w:rFonts w:ascii="Cambria Math" w:eastAsia="Times New Roman" w:hAnsi="Cambria Math" w:cs="Cambria Math"/>
          <w:sz w:val="20"/>
          <w:szCs w:val="20"/>
        </w:rPr>
        <w:t>‐</w:t>
      </w:r>
      <w:proofErr w:type="spellStart"/>
      <w:r w:rsidRPr="00F907BA">
        <w:rPr>
          <w:rFonts w:ascii="TimesNewRomanPSMT" w:eastAsia="Times New Roman" w:hAnsi="TimesNewRomanPSMT" w:cs="Times New Roman"/>
          <w:sz w:val="20"/>
          <w:szCs w:val="20"/>
        </w:rPr>
        <w:t>Vir</w:t>
      </w:r>
      <w:proofErr w:type="spellEnd"/>
      <w:r w:rsidRPr="00F907BA">
        <w:rPr>
          <w:rFonts w:ascii="TimesNewRomanPSMT" w:eastAsia="Times New Roman" w:hAnsi="TimesNewRomanPSMT" w:cs="Times New Roman"/>
          <w:sz w:val="20"/>
          <w:szCs w:val="20"/>
        </w:rPr>
        <w:t xml:space="preserve"> until 30 April (97.8% of this universe), with only 62 persons positive to COVID</w:t>
      </w:r>
      <w:r w:rsidRPr="00F907BA">
        <w:rPr>
          <w:rFonts w:ascii="Cambria Math" w:eastAsia="Times New Roman" w:hAnsi="Cambria Math" w:cs="Cambria Math"/>
          <w:sz w:val="20"/>
          <w:szCs w:val="20"/>
        </w:rPr>
        <w:t>‐</w:t>
      </w:r>
      <w:r w:rsidRPr="00F907BA">
        <w:rPr>
          <w:rFonts w:ascii="TimesNewRomanPSMT" w:eastAsia="Times New Roman" w:hAnsi="TimesNewRomanPSMT" w:cs="Times New Roman"/>
          <w:sz w:val="20"/>
          <w:szCs w:val="20"/>
        </w:rPr>
        <w:t xml:space="preserve">19 (0.14%). One of these patients did not use </w:t>
      </w:r>
      <w:proofErr w:type="spellStart"/>
      <w:r w:rsidRPr="00F907BA">
        <w:rPr>
          <w:rFonts w:ascii="TimesNewRomanPSMT" w:eastAsia="Times New Roman" w:hAnsi="TimesNewRomanPSMT" w:cs="Times New Roman"/>
          <w:sz w:val="20"/>
          <w:szCs w:val="20"/>
        </w:rPr>
        <w:t>PrevengHo</w:t>
      </w:r>
      <w:proofErr w:type="spellEnd"/>
      <w:r w:rsidRPr="00F907BA">
        <w:rPr>
          <w:rFonts w:ascii="TimesNewRomanPSMT" w:eastAsia="Times New Roman" w:hAnsi="TimesNewRomanPSMT" w:cs="Times New Roman"/>
          <w:position w:val="6"/>
          <w:sz w:val="12"/>
          <w:szCs w:val="12"/>
        </w:rPr>
        <w:t>®</w:t>
      </w:r>
      <w:r w:rsidRPr="00F907BA">
        <w:rPr>
          <w:rFonts w:ascii="Cambria Math" w:eastAsia="Times New Roman" w:hAnsi="Cambria Math" w:cs="Cambria Math"/>
          <w:sz w:val="20"/>
          <w:szCs w:val="20"/>
        </w:rPr>
        <w:t>‐</w:t>
      </w:r>
      <w:proofErr w:type="spellStart"/>
      <w:r w:rsidRPr="00F907BA">
        <w:rPr>
          <w:rFonts w:ascii="TimesNewRomanPSMT" w:eastAsia="Times New Roman" w:hAnsi="TimesNewRomanPSMT" w:cs="Times New Roman"/>
          <w:sz w:val="20"/>
          <w:szCs w:val="20"/>
        </w:rPr>
        <w:t>Vir</w:t>
      </w:r>
      <w:proofErr w:type="spellEnd"/>
      <w:r w:rsidRPr="00F907BA">
        <w:rPr>
          <w:rFonts w:ascii="TimesNewRomanPSMT" w:eastAsia="Times New Roman" w:hAnsi="TimesNewRomanPSMT" w:cs="Times New Roman"/>
          <w:sz w:val="20"/>
          <w:szCs w:val="20"/>
        </w:rPr>
        <w:t xml:space="preserve">.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MT" w:eastAsia="Times New Roman" w:hAnsi="TimesNewRomanPSMT" w:cs="Times New Roman"/>
          <w:sz w:val="20"/>
          <w:szCs w:val="20"/>
        </w:rPr>
        <w:t>The medication was distributed to 953,416 families in 43 municipalities by the same time, when Cuba accumulated 1537 patients positive to COVID</w:t>
      </w:r>
      <w:r w:rsidRPr="00F907BA">
        <w:rPr>
          <w:rFonts w:ascii="Cambria Math" w:eastAsia="Times New Roman" w:hAnsi="Cambria Math" w:cs="Cambria Math"/>
          <w:sz w:val="20"/>
          <w:szCs w:val="20"/>
        </w:rPr>
        <w:t>‐</w:t>
      </w:r>
      <w:r w:rsidRPr="00F907BA">
        <w:rPr>
          <w:rFonts w:ascii="TimesNewRomanPSMT" w:eastAsia="Times New Roman" w:hAnsi="TimesNewRomanPSMT" w:cs="Times New Roman"/>
          <w:sz w:val="20"/>
          <w:szCs w:val="20"/>
        </w:rPr>
        <w:t xml:space="preserve">19. Anyway, only </w:t>
      </w:r>
      <w:proofErr w:type="spellStart"/>
      <w:r w:rsidRPr="00F907BA">
        <w:rPr>
          <w:rFonts w:ascii="TimesNewRomanPSMT" w:eastAsia="Times New Roman" w:hAnsi="TimesNewRomanPSMT" w:cs="Times New Roman"/>
          <w:sz w:val="20"/>
          <w:szCs w:val="20"/>
        </w:rPr>
        <w:t>Consolacion</w:t>
      </w:r>
      <w:proofErr w:type="spellEnd"/>
      <w:r w:rsidRPr="00F907BA">
        <w:rPr>
          <w:rFonts w:ascii="TimesNewRomanPSMT" w:eastAsia="Times New Roman" w:hAnsi="TimesNewRomanPSMT" w:cs="Times New Roman"/>
          <w:sz w:val="20"/>
          <w:szCs w:val="20"/>
        </w:rPr>
        <w:t xml:space="preserve"> del Sur, Plaza de la </w:t>
      </w:r>
      <w:proofErr w:type="spellStart"/>
      <w:r w:rsidRPr="00F907BA">
        <w:rPr>
          <w:rFonts w:ascii="TimesNewRomanPSMT" w:eastAsia="Times New Roman" w:hAnsi="TimesNewRomanPSMT" w:cs="Times New Roman"/>
          <w:sz w:val="20"/>
          <w:szCs w:val="20"/>
        </w:rPr>
        <w:t>Revolucion</w:t>
      </w:r>
      <w:proofErr w:type="spellEnd"/>
      <w:r w:rsidRPr="00F907BA">
        <w:rPr>
          <w:rFonts w:ascii="TimesNewRomanPSMT" w:eastAsia="Times New Roman" w:hAnsi="TimesNewRomanPSMT" w:cs="Times New Roman"/>
          <w:sz w:val="20"/>
          <w:szCs w:val="20"/>
        </w:rPr>
        <w:t xml:space="preserve"> and Florencia had completed the 10</w:t>
      </w:r>
      <w:r w:rsidRPr="00F907BA">
        <w:rPr>
          <w:rFonts w:ascii="Cambria Math" w:eastAsia="Times New Roman" w:hAnsi="Cambria Math" w:cs="Cambria Math"/>
          <w:sz w:val="20"/>
          <w:szCs w:val="20"/>
        </w:rPr>
        <w:t>‐</w:t>
      </w:r>
      <w:r w:rsidRPr="00F907BA">
        <w:rPr>
          <w:rFonts w:ascii="TimesNewRomanPSMT" w:eastAsia="Times New Roman" w:hAnsi="TimesNewRomanPSMT" w:cs="Times New Roman"/>
          <w:sz w:val="20"/>
          <w:szCs w:val="20"/>
        </w:rPr>
        <w:t xml:space="preserve">day treatment during April, with 4 patients from Plaza de la </w:t>
      </w:r>
      <w:proofErr w:type="spellStart"/>
      <w:r w:rsidRPr="00F907BA">
        <w:rPr>
          <w:rFonts w:ascii="TimesNewRomanPSMT" w:eastAsia="Times New Roman" w:hAnsi="TimesNewRomanPSMT" w:cs="Times New Roman"/>
          <w:sz w:val="20"/>
          <w:szCs w:val="20"/>
        </w:rPr>
        <w:t>Revolucion</w:t>
      </w:r>
      <w:proofErr w:type="spellEnd"/>
      <w:r w:rsidRPr="00F907BA">
        <w:rPr>
          <w:rFonts w:ascii="TimesNewRomanPSMT" w:eastAsia="Times New Roman" w:hAnsi="TimesNewRomanPSMT" w:cs="Times New Roman"/>
          <w:sz w:val="20"/>
          <w:szCs w:val="20"/>
        </w:rPr>
        <w:t xml:space="preserve"> municipality in Havana positive to COVID</w:t>
      </w:r>
      <w:r w:rsidRPr="00F907BA">
        <w:rPr>
          <w:rFonts w:ascii="Cambria Math" w:eastAsia="Times New Roman" w:hAnsi="Cambria Math" w:cs="Cambria Math"/>
          <w:sz w:val="20"/>
          <w:szCs w:val="20"/>
        </w:rPr>
        <w:t>‐</w:t>
      </w:r>
      <w:r w:rsidRPr="00F907BA">
        <w:rPr>
          <w:rFonts w:ascii="TimesNewRomanPSMT" w:eastAsia="Times New Roman" w:hAnsi="TimesNewRomanPSMT" w:cs="Times New Roman"/>
          <w:sz w:val="20"/>
          <w:szCs w:val="20"/>
        </w:rPr>
        <w:t xml:space="preserve">19 after its completion (0,002% of the population from these 3 municipalities). There were 11 reports of suspected ADR to </w:t>
      </w:r>
      <w:proofErr w:type="spellStart"/>
      <w:r w:rsidRPr="00F907BA">
        <w:rPr>
          <w:rFonts w:ascii="TimesNewRomanPSMT" w:eastAsia="Times New Roman" w:hAnsi="TimesNewRomanPSMT" w:cs="Times New Roman"/>
          <w:sz w:val="20"/>
          <w:szCs w:val="20"/>
        </w:rPr>
        <w:t>PrevengHo</w:t>
      </w:r>
      <w:proofErr w:type="spellEnd"/>
      <w:r w:rsidRPr="00F907BA">
        <w:rPr>
          <w:rFonts w:ascii="TimesNewRomanPSMT" w:eastAsia="Times New Roman" w:hAnsi="TimesNewRomanPSMT" w:cs="Times New Roman"/>
          <w:position w:val="6"/>
          <w:sz w:val="12"/>
          <w:szCs w:val="12"/>
        </w:rPr>
        <w:t>®</w:t>
      </w:r>
      <w:r w:rsidRPr="00F907BA">
        <w:rPr>
          <w:rFonts w:ascii="Cambria Math" w:eastAsia="Times New Roman" w:hAnsi="Cambria Math" w:cs="Cambria Math"/>
          <w:sz w:val="20"/>
          <w:szCs w:val="20"/>
        </w:rPr>
        <w:t>‐</w:t>
      </w:r>
      <w:proofErr w:type="spellStart"/>
      <w:r w:rsidRPr="00F907BA">
        <w:rPr>
          <w:rFonts w:ascii="TimesNewRomanPSMT" w:eastAsia="Times New Roman" w:hAnsi="TimesNewRomanPSMT" w:cs="Times New Roman"/>
          <w:sz w:val="20"/>
          <w:szCs w:val="20"/>
        </w:rPr>
        <w:t>Vir</w:t>
      </w:r>
      <w:proofErr w:type="spellEnd"/>
      <w:r w:rsidRPr="00F907BA">
        <w:rPr>
          <w:rFonts w:ascii="TimesNewRomanPSMT" w:eastAsia="Times New Roman" w:hAnsi="TimesNewRomanPSMT" w:cs="Times New Roman"/>
          <w:sz w:val="20"/>
          <w:szCs w:val="20"/>
        </w:rPr>
        <w:t xml:space="preserve"> referred to the National System of Pharmacovigilance during the 1</w:t>
      </w:r>
      <w:proofErr w:type="spellStart"/>
      <w:r w:rsidRPr="00F907BA">
        <w:rPr>
          <w:rFonts w:ascii="TimesNewRomanPSMT" w:eastAsia="Times New Roman" w:hAnsi="TimesNewRomanPSMT" w:cs="Times New Roman"/>
          <w:position w:val="6"/>
          <w:sz w:val="12"/>
          <w:szCs w:val="12"/>
        </w:rPr>
        <w:t>st</w:t>
      </w:r>
      <w:proofErr w:type="spellEnd"/>
      <w:r w:rsidRPr="00F907BA">
        <w:rPr>
          <w:rFonts w:ascii="TimesNewRomanPSMT" w:eastAsia="Times New Roman" w:hAnsi="TimesNewRomanPSMT" w:cs="Times New Roman"/>
          <w:position w:val="6"/>
          <w:sz w:val="12"/>
          <w:szCs w:val="12"/>
        </w:rPr>
        <w:t xml:space="preserve"> </w:t>
      </w:r>
      <w:r w:rsidRPr="00F907BA">
        <w:rPr>
          <w:rFonts w:ascii="TimesNewRomanPSMT" w:eastAsia="Times New Roman" w:hAnsi="TimesNewRomanPSMT" w:cs="Times New Roman"/>
          <w:sz w:val="20"/>
          <w:szCs w:val="20"/>
        </w:rPr>
        <w:t xml:space="preserve">month of the HP campaign, 4 were classified as moderate (36.4%) and 7 were mild (63.6%).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MT" w:eastAsia="Times New Roman" w:hAnsi="TimesNewRomanPSMT" w:cs="Times New Roman"/>
          <w:sz w:val="20"/>
          <w:szCs w:val="20"/>
        </w:rPr>
        <w:t>A quasi</w:t>
      </w:r>
      <w:r w:rsidRPr="00F907BA">
        <w:rPr>
          <w:rFonts w:ascii="Cambria Math" w:eastAsia="Times New Roman" w:hAnsi="Cambria Math" w:cs="Cambria Math"/>
          <w:sz w:val="20"/>
          <w:szCs w:val="20"/>
        </w:rPr>
        <w:t>‐</w:t>
      </w:r>
      <w:r w:rsidRPr="00F907BA">
        <w:rPr>
          <w:rFonts w:ascii="TimesNewRomanPSMT" w:eastAsia="Times New Roman" w:hAnsi="TimesNewRomanPSMT" w:cs="Times New Roman"/>
          <w:sz w:val="20"/>
          <w:szCs w:val="20"/>
        </w:rPr>
        <w:t>experimental post</w:t>
      </w:r>
      <w:r w:rsidRPr="00F907BA">
        <w:rPr>
          <w:rFonts w:ascii="Cambria Math" w:eastAsia="Times New Roman" w:hAnsi="Cambria Math" w:cs="Cambria Math"/>
          <w:sz w:val="20"/>
          <w:szCs w:val="20"/>
        </w:rPr>
        <w:t>‐</w:t>
      </w:r>
      <w:r w:rsidRPr="00F907BA">
        <w:rPr>
          <w:rFonts w:ascii="TimesNewRomanPSMT" w:eastAsia="Times New Roman" w:hAnsi="TimesNewRomanPSMT" w:cs="Times New Roman"/>
          <w:sz w:val="20"/>
          <w:szCs w:val="20"/>
        </w:rPr>
        <w:t>sanitary registration study is registered on the Public Registry of Clinical Trials of the Republic of Cuba (Unique ID number: RPCEC00000312</w:t>
      </w:r>
      <w:proofErr w:type="gramStart"/>
      <w:r w:rsidRPr="00F907BA">
        <w:rPr>
          <w:rFonts w:ascii="TimesNewRomanPSMT" w:eastAsia="Times New Roman" w:hAnsi="TimesNewRomanPSMT" w:cs="Times New Roman"/>
          <w:sz w:val="20"/>
          <w:szCs w:val="20"/>
        </w:rPr>
        <w:t>).</w:t>
      </w:r>
      <w:r w:rsidRPr="00F907BA">
        <w:rPr>
          <w:rFonts w:ascii="TimesNewRomanPSMT" w:eastAsia="Times New Roman" w:hAnsi="TimesNewRomanPSMT" w:cs="Times New Roman"/>
          <w:position w:val="6"/>
          <w:sz w:val="12"/>
          <w:szCs w:val="12"/>
        </w:rPr>
        <w:t>[</w:t>
      </w:r>
      <w:proofErr w:type="gramEnd"/>
      <w:r w:rsidRPr="00F907BA">
        <w:rPr>
          <w:rFonts w:ascii="TimesNewRomanPSMT" w:eastAsia="Times New Roman" w:hAnsi="TimesNewRomanPSMT" w:cs="Times New Roman"/>
          <w:position w:val="6"/>
          <w:sz w:val="12"/>
          <w:szCs w:val="12"/>
        </w:rPr>
        <w:t xml:space="preserve">5] </w:t>
      </w:r>
      <w:r w:rsidRPr="00F907BA">
        <w:rPr>
          <w:rFonts w:ascii="TimesNewRomanPSMT" w:eastAsia="Times New Roman" w:hAnsi="TimesNewRomanPSMT" w:cs="Times New Roman"/>
          <w:sz w:val="20"/>
          <w:szCs w:val="20"/>
        </w:rPr>
        <w:t xml:space="preserve">It will provide further information about the safety (primary outcome) and effect (secondary outcome) of </w:t>
      </w:r>
      <w:proofErr w:type="spellStart"/>
      <w:r w:rsidRPr="00F907BA">
        <w:rPr>
          <w:rFonts w:ascii="TimesNewRomanPSMT" w:eastAsia="Times New Roman" w:hAnsi="TimesNewRomanPSMT" w:cs="Times New Roman"/>
          <w:sz w:val="20"/>
          <w:szCs w:val="20"/>
        </w:rPr>
        <w:t>PrevengHo</w:t>
      </w:r>
      <w:proofErr w:type="spellEnd"/>
      <w:r w:rsidRPr="00F907BA">
        <w:rPr>
          <w:rFonts w:ascii="TimesNewRomanPSMT" w:eastAsia="Times New Roman" w:hAnsi="TimesNewRomanPSMT" w:cs="Times New Roman"/>
          <w:position w:val="6"/>
          <w:sz w:val="12"/>
          <w:szCs w:val="12"/>
        </w:rPr>
        <w:t>®</w:t>
      </w:r>
      <w:r w:rsidRPr="00F907BA">
        <w:rPr>
          <w:rFonts w:ascii="Cambria Math" w:eastAsia="Times New Roman" w:hAnsi="Cambria Math" w:cs="Cambria Math"/>
          <w:sz w:val="20"/>
          <w:szCs w:val="20"/>
        </w:rPr>
        <w:t>‐</w:t>
      </w:r>
      <w:proofErr w:type="spellStart"/>
      <w:r w:rsidRPr="00F907BA">
        <w:rPr>
          <w:rFonts w:ascii="TimesNewRomanPSMT" w:eastAsia="Times New Roman" w:hAnsi="TimesNewRomanPSMT" w:cs="Times New Roman"/>
          <w:sz w:val="20"/>
          <w:szCs w:val="20"/>
        </w:rPr>
        <w:t>Vir</w:t>
      </w:r>
      <w:proofErr w:type="spellEnd"/>
      <w:r w:rsidRPr="00F907BA">
        <w:rPr>
          <w:rFonts w:ascii="TimesNewRomanPSMT" w:eastAsia="Times New Roman" w:hAnsi="TimesNewRomanPSMT" w:cs="Times New Roman"/>
          <w:sz w:val="20"/>
          <w:szCs w:val="20"/>
        </w:rPr>
        <w:t xml:space="preserve">. Publications of these results are guaranteed.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Swiss721BT" w:eastAsia="Times New Roman" w:hAnsi="Swiss721BT" w:cs="Times New Roman"/>
          <w:b/>
          <w:bCs/>
          <w:color w:val="2D9975"/>
          <w:sz w:val="22"/>
          <w:szCs w:val="22"/>
        </w:rPr>
        <w:lastRenderedPageBreak/>
        <w:t xml:space="preserve">Acknowledgements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MT" w:eastAsia="Times New Roman" w:hAnsi="TimesNewRomanPSMT" w:cs="Times New Roman"/>
          <w:sz w:val="20"/>
          <w:szCs w:val="20"/>
        </w:rPr>
        <w:t xml:space="preserve">The authors would like to acknowledge officials and scientists who made possible the massive use of </w:t>
      </w:r>
      <w:proofErr w:type="spellStart"/>
      <w:r w:rsidRPr="00F907BA">
        <w:rPr>
          <w:rFonts w:ascii="TimesNewRomanPSMT" w:eastAsia="Times New Roman" w:hAnsi="TimesNewRomanPSMT" w:cs="Times New Roman"/>
          <w:sz w:val="20"/>
          <w:szCs w:val="20"/>
        </w:rPr>
        <w:t>PrevengHo</w:t>
      </w:r>
      <w:proofErr w:type="spellEnd"/>
      <w:r w:rsidRPr="00F907BA">
        <w:rPr>
          <w:rFonts w:ascii="TimesNewRomanPSMT" w:eastAsia="Times New Roman" w:hAnsi="TimesNewRomanPSMT" w:cs="Times New Roman"/>
          <w:sz w:val="20"/>
          <w:szCs w:val="20"/>
        </w:rPr>
        <w:t>®</w:t>
      </w:r>
      <w:r w:rsidRPr="00F907BA">
        <w:rPr>
          <w:rFonts w:ascii="Cambria Math" w:eastAsia="Times New Roman" w:hAnsi="Cambria Math" w:cs="Cambria Math"/>
          <w:sz w:val="20"/>
          <w:szCs w:val="20"/>
        </w:rPr>
        <w:t>‐</w:t>
      </w:r>
      <w:proofErr w:type="spellStart"/>
      <w:r w:rsidRPr="00F907BA">
        <w:rPr>
          <w:rFonts w:ascii="TimesNewRomanPSMT" w:eastAsia="Times New Roman" w:hAnsi="TimesNewRomanPSMT" w:cs="Times New Roman"/>
          <w:sz w:val="20"/>
          <w:szCs w:val="20"/>
        </w:rPr>
        <w:t>Vir</w:t>
      </w:r>
      <w:proofErr w:type="spellEnd"/>
      <w:r w:rsidRPr="00F907BA">
        <w:rPr>
          <w:rFonts w:ascii="TimesNewRomanPSMT" w:eastAsia="Times New Roman" w:hAnsi="TimesNewRomanPSMT" w:cs="Times New Roman"/>
          <w:sz w:val="20"/>
          <w:szCs w:val="20"/>
        </w:rPr>
        <w:t xml:space="preserve"> in Cuba. A special recognition goes for those doctors, nurses, pharmacists, students and non</w:t>
      </w:r>
      <w:r w:rsidRPr="00F907BA">
        <w:rPr>
          <w:rFonts w:ascii="Cambria Math" w:eastAsia="Times New Roman" w:hAnsi="Cambria Math" w:cs="Cambria Math"/>
          <w:sz w:val="20"/>
          <w:szCs w:val="20"/>
        </w:rPr>
        <w:t>‐</w:t>
      </w:r>
      <w:r w:rsidRPr="00F907BA">
        <w:rPr>
          <w:rFonts w:ascii="TimesNewRomanPSMT" w:eastAsia="Times New Roman" w:hAnsi="TimesNewRomanPSMT" w:cs="Times New Roman"/>
          <w:sz w:val="20"/>
          <w:szCs w:val="20"/>
        </w:rPr>
        <w:t xml:space="preserve">medical personnel still involved in the HP campaign.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Swiss721BT" w:eastAsia="Times New Roman" w:hAnsi="Swiss721BT" w:cs="Times New Roman"/>
          <w:b/>
          <w:bCs/>
          <w:color w:val="2D9975"/>
          <w:sz w:val="22"/>
          <w:szCs w:val="22"/>
        </w:rPr>
        <w:t xml:space="preserve">Financial support and sponsorship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MT" w:eastAsia="Times New Roman" w:hAnsi="TimesNewRomanPSMT" w:cs="Times New Roman"/>
          <w:sz w:val="20"/>
          <w:szCs w:val="20"/>
        </w:rPr>
        <w:t xml:space="preserve">Nil.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Swiss721BT" w:eastAsia="Times New Roman" w:hAnsi="Swiss721BT" w:cs="Times New Roman"/>
          <w:b/>
          <w:bCs/>
          <w:color w:val="2D9975"/>
          <w:sz w:val="22"/>
          <w:szCs w:val="22"/>
        </w:rPr>
        <w:t xml:space="preserve">Conflicts of interest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MT" w:eastAsia="Times New Roman" w:hAnsi="TimesNewRomanPSMT" w:cs="Times New Roman"/>
          <w:sz w:val="20"/>
          <w:szCs w:val="20"/>
        </w:rPr>
        <w:t xml:space="preserve">None declared.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Swiss721BT" w:eastAsia="Times New Roman" w:hAnsi="Swiss721BT" w:cs="Times New Roman"/>
          <w:b/>
          <w:bCs/>
          <w:sz w:val="16"/>
          <w:szCs w:val="16"/>
        </w:rPr>
        <w:t>Johann Perdomo Delgado</w:t>
      </w:r>
      <w:r w:rsidRPr="00F907BA">
        <w:rPr>
          <w:rFonts w:ascii="Swiss721BT" w:eastAsia="Times New Roman" w:hAnsi="Swiss721BT" w:cs="Times New Roman"/>
          <w:b/>
          <w:bCs/>
          <w:position w:val="6"/>
          <w:sz w:val="10"/>
          <w:szCs w:val="10"/>
        </w:rPr>
        <w:t>1</w:t>
      </w:r>
      <w:r w:rsidRPr="00F907BA">
        <w:rPr>
          <w:rFonts w:ascii="Swiss721BT" w:eastAsia="Times New Roman" w:hAnsi="Swiss721BT" w:cs="Times New Roman"/>
          <w:b/>
          <w:bCs/>
          <w:sz w:val="16"/>
          <w:szCs w:val="16"/>
        </w:rPr>
        <w:t>*, Antonio Emilio Vallin Garcia</w:t>
      </w:r>
      <w:r w:rsidRPr="00F907BA">
        <w:rPr>
          <w:rFonts w:ascii="Swiss721BT" w:eastAsia="Times New Roman" w:hAnsi="Swiss721BT" w:cs="Times New Roman"/>
          <w:b/>
          <w:bCs/>
          <w:position w:val="6"/>
          <w:sz w:val="10"/>
          <w:szCs w:val="10"/>
        </w:rPr>
        <w:t>2</w:t>
      </w:r>
      <w:r w:rsidRPr="00F907BA">
        <w:rPr>
          <w:rFonts w:ascii="Swiss721BT" w:eastAsia="Times New Roman" w:hAnsi="Swiss721BT" w:cs="Times New Roman"/>
          <w:b/>
          <w:bCs/>
          <w:sz w:val="16"/>
          <w:szCs w:val="16"/>
        </w:rPr>
        <w:t xml:space="preserve">, Evelyn </w:t>
      </w:r>
      <w:proofErr w:type="spellStart"/>
      <w:r w:rsidRPr="00F907BA">
        <w:rPr>
          <w:rFonts w:ascii="Swiss721BT" w:eastAsia="Times New Roman" w:hAnsi="Swiss721BT" w:cs="Times New Roman"/>
          <w:b/>
          <w:bCs/>
          <w:sz w:val="16"/>
          <w:szCs w:val="16"/>
        </w:rPr>
        <w:t>Anie</w:t>
      </w:r>
      <w:proofErr w:type="spellEnd"/>
      <w:r w:rsidRPr="00F907BA">
        <w:rPr>
          <w:rFonts w:ascii="Swiss721BT" w:eastAsia="Times New Roman" w:hAnsi="Swiss721BT" w:cs="Times New Roman"/>
          <w:b/>
          <w:bCs/>
          <w:sz w:val="16"/>
          <w:szCs w:val="16"/>
        </w:rPr>
        <w:t xml:space="preserve"> Gonzalez </w:t>
      </w:r>
      <w:proofErr w:type="spellStart"/>
      <w:r w:rsidRPr="00F907BA">
        <w:rPr>
          <w:rFonts w:ascii="Swiss721BT" w:eastAsia="Times New Roman" w:hAnsi="Swiss721BT" w:cs="Times New Roman"/>
          <w:b/>
          <w:bCs/>
          <w:sz w:val="16"/>
          <w:szCs w:val="16"/>
        </w:rPr>
        <w:t>Pla</w:t>
      </w:r>
      <w:proofErr w:type="spellEnd"/>
      <w:r w:rsidRPr="00F907BA">
        <w:rPr>
          <w:rFonts w:ascii="Swiss721BT" w:eastAsia="Times New Roman" w:hAnsi="Swiss721BT" w:cs="Times New Roman"/>
          <w:b/>
          <w:bCs/>
          <w:position w:val="6"/>
          <w:sz w:val="10"/>
          <w:szCs w:val="10"/>
        </w:rPr>
        <w:t>3</w:t>
      </w:r>
      <w:r w:rsidRPr="00F907BA">
        <w:rPr>
          <w:rFonts w:ascii="Swiss721BT" w:eastAsia="Times New Roman" w:hAnsi="Swiss721BT" w:cs="Times New Roman"/>
          <w:b/>
          <w:bCs/>
          <w:sz w:val="16"/>
          <w:szCs w:val="16"/>
        </w:rPr>
        <w:t xml:space="preserve">, Lissette Aguila </w:t>
      </w:r>
      <w:proofErr w:type="spellStart"/>
      <w:r w:rsidRPr="00F907BA">
        <w:rPr>
          <w:rFonts w:ascii="Swiss721BT" w:eastAsia="Times New Roman" w:hAnsi="Swiss721BT" w:cs="Times New Roman"/>
          <w:b/>
          <w:bCs/>
          <w:sz w:val="16"/>
          <w:szCs w:val="16"/>
        </w:rPr>
        <w:t>Peña</w:t>
      </w:r>
      <w:proofErr w:type="spellEnd"/>
      <w:r w:rsidRPr="00F907BA">
        <w:rPr>
          <w:rFonts w:ascii="Swiss721BT" w:eastAsia="Times New Roman" w:hAnsi="Swiss721BT" w:cs="Times New Roman"/>
          <w:b/>
          <w:bCs/>
          <w:position w:val="6"/>
          <w:sz w:val="10"/>
          <w:szCs w:val="10"/>
        </w:rPr>
        <w:t>2</w:t>
      </w:r>
      <w:r w:rsidRPr="00F907BA">
        <w:rPr>
          <w:rFonts w:ascii="Swiss721BT" w:eastAsia="Times New Roman" w:hAnsi="Swiss721BT" w:cs="Times New Roman"/>
          <w:b/>
          <w:bCs/>
          <w:sz w:val="16"/>
          <w:szCs w:val="16"/>
        </w:rPr>
        <w:t xml:space="preserve">, </w:t>
      </w:r>
      <w:proofErr w:type="spellStart"/>
      <w:r w:rsidRPr="00F907BA">
        <w:rPr>
          <w:rFonts w:ascii="Swiss721BT" w:eastAsia="Times New Roman" w:hAnsi="Swiss721BT" w:cs="Times New Roman"/>
          <w:b/>
          <w:bCs/>
          <w:sz w:val="16"/>
          <w:szCs w:val="16"/>
        </w:rPr>
        <w:t>Diadelis</w:t>
      </w:r>
      <w:proofErr w:type="spellEnd"/>
      <w:r w:rsidRPr="00F907BA">
        <w:rPr>
          <w:rFonts w:ascii="Swiss721BT" w:eastAsia="Times New Roman" w:hAnsi="Swiss721BT" w:cs="Times New Roman"/>
          <w:b/>
          <w:bCs/>
          <w:sz w:val="16"/>
          <w:szCs w:val="16"/>
        </w:rPr>
        <w:t xml:space="preserve"> De La Caridad </w:t>
      </w:r>
      <w:proofErr w:type="spellStart"/>
      <w:r w:rsidRPr="00F907BA">
        <w:rPr>
          <w:rFonts w:ascii="Swiss721BT" w:eastAsia="Times New Roman" w:hAnsi="Swiss721BT" w:cs="Times New Roman"/>
          <w:b/>
          <w:bCs/>
          <w:sz w:val="16"/>
          <w:szCs w:val="16"/>
        </w:rPr>
        <w:t>Remirez</w:t>
      </w:r>
      <w:proofErr w:type="spellEnd"/>
      <w:r w:rsidRPr="00F907BA">
        <w:rPr>
          <w:rFonts w:ascii="Swiss721BT" w:eastAsia="Times New Roman" w:hAnsi="Swiss721BT" w:cs="Times New Roman"/>
          <w:b/>
          <w:bCs/>
          <w:sz w:val="16"/>
          <w:szCs w:val="16"/>
        </w:rPr>
        <w:t xml:space="preserve"> Figueredo</w:t>
      </w:r>
      <w:r w:rsidRPr="00F907BA">
        <w:rPr>
          <w:rFonts w:ascii="Swiss721BT" w:eastAsia="Times New Roman" w:hAnsi="Swiss721BT" w:cs="Times New Roman"/>
          <w:b/>
          <w:bCs/>
          <w:position w:val="6"/>
          <w:sz w:val="10"/>
          <w:szCs w:val="10"/>
        </w:rPr>
        <w:t>4</w:t>
      </w:r>
      <w:r w:rsidRPr="00F907BA">
        <w:rPr>
          <w:rFonts w:ascii="Swiss721BT" w:eastAsia="Times New Roman" w:hAnsi="Swiss721BT" w:cs="Times New Roman"/>
          <w:b/>
          <w:bCs/>
          <w:sz w:val="16"/>
          <w:szCs w:val="16"/>
        </w:rPr>
        <w:t xml:space="preserve">, Alberto </w:t>
      </w:r>
      <w:proofErr w:type="spellStart"/>
      <w:r w:rsidRPr="00F907BA">
        <w:rPr>
          <w:rFonts w:ascii="Swiss721BT" w:eastAsia="Times New Roman" w:hAnsi="Swiss721BT" w:cs="Times New Roman"/>
          <w:b/>
          <w:bCs/>
          <w:sz w:val="16"/>
          <w:szCs w:val="16"/>
        </w:rPr>
        <w:t>Inocente</w:t>
      </w:r>
      <w:proofErr w:type="spellEnd"/>
      <w:r w:rsidRPr="00F907BA">
        <w:rPr>
          <w:rFonts w:ascii="Swiss721BT" w:eastAsia="Times New Roman" w:hAnsi="Swiss721BT" w:cs="Times New Roman"/>
          <w:b/>
          <w:bCs/>
          <w:sz w:val="16"/>
          <w:szCs w:val="16"/>
        </w:rPr>
        <w:t xml:space="preserve"> Hernandez Rodriguez</w:t>
      </w:r>
      <w:r w:rsidRPr="00F907BA">
        <w:rPr>
          <w:rFonts w:ascii="Swiss721BT" w:eastAsia="Times New Roman" w:hAnsi="Swiss721BT" w:cs="Times New Roman"/>
          <w:b/>
          <w:bCs/>
          <w:position w:val="6"/>
          <w:sz w:val="10"/>
          <w:szCs w:val="10"/>
        </w:rPr>
        <w:t>5</w:t>
      </w:r>
      <w:r w:rsidRPr="00F907BA">
        <w:rPr>
          <w:rFonts w:ascii="Swiss721BT" w:eastAsia="Times New Roman" w:hAnsi="Swiss721BT" w:cs="Times New Roman"/>
          <w:b/>
          <w:bCs/>
          <w:sz w:val="16"/>
          <w:szCs w:val="16"/>
        </w:rPr>
        <w:t xml:space="preserve">, Magaly Victoria </w:t>
      </w:r>
      <w:proofErr w:type="spellStart"/>
      <w:r w:rsidRPr="00F907BA">
        <w:rPr>
          <w:rFonts w:ascii="Swiss721BT" w:eastAsia="Times New Roman" w:hAnsi="Swiss721BT" w:cs="Times New Roman"/>
          <w:b/>
          <w:bCs/>
          <w:sz w:val="16"/>
          <w:szCs w:val="16"/>
        </w:rPr>
        <w:t>Carrero</w:t>
      </w:r>
      <w:proofErr w:type="spellEnd"/>
      <w:r w:rsidRPr="00F907BA">
        <w:rPr>
          <w:rFonts w:ascii="Swiss721BT" w:eastAsia="Times New Roman" w:hAnsi="Swiss721BT" w:cs="Times New Roman"/>
          <w:b/>
          <w:bCs/>
          <w:sz w:val="16"/>
          <w:szCs w:val="16"/>
        </w:rPr>
        <w:t xml:space="preserve"> Figueroa</w:t>
      </w:r>
      <w:r w:rsidRPr="00F907BA">
        <w:rPr>
          <w:rFonts w:ascii="Swiss721BT" w:eastAsia="Times New Roman" w:hAnsi="Swiss721BT" w:cs="Times New Roman"/>
          <w:b/>
          <w:bCs/>
          <w:position w:val="6"/>
          <w:sz w:val="10"/>
          <w:szCs w:val="10"/>
        </w:rPr>
        <w:t>1</w:t>
      </w:r>
      <w:r w:rsidRPr="00F907BA">
        <w:rPr>
          <w:rFonts w:ascii="Swiss721BT" w:eastAsia="Times New Roman" w:hAnsi="Swiss721BT" w:cs="Times New Roman"/>
          <w:b/>
          <w:bCs/>
          <w:sz w:val="16"/>
          <w:szCs w:val="16"/>
        </w:rPr>
        <w:t xml:space="preserve">, Concepcion </w:t>
      </w:r>
      <w:proofErr w:type="spellStart"/>
      <w:r w:rsidRPr="00F907BA">
        <w:rPr>
          <w:rFonts w:ascii="Swiss721BT" w:eastAsia="Times New Roman" w:hAnsi="Swiss721BT" w:cs="Times New Roman"/>
          <w:b/>
          <w:bCs/>
          <w:sz w:val="16"/>
          <w:szCs w:val="16"/>
        </w:rPr>
        <w:t>Campa</w:t>
      </w:r>
      <w:proofErr w:type="spellEnd"/>
      <w:r w:rsidRPr="00F907BA">
        <w:rPr>
          <w:rFonts w:ascii="Swiss721BT" w:eastAsia="Times New Roman" w:hAnsi="Swiss721BT" w:cs="Times New Roman"/>
          <w:b/>
          <w:bCs/>
          <w:sz w:val="16"/>
          <w:szCs w:val="16"/>
        </w:rPr>
        <w:t xml:space="preserve"> </w:t>
      </w:r>
      <w:proofErr w:type="spellStart"/>
      <w:r w:rsidRPr="00F907BA">
        <w:rPr>
          <w:rFonts w:ascii="Swiss721BT" w:eastAsia="Times New Roman" w:hAnsi="Swiss721BT" w:cs="Times New Roman"/>
          <w:b/>
          <w:bCs/>
          <w:sz w:val="16"/>
          <w:szCs w:val="16"/>
        </w:rPr>
        <w:t>Huergo</w:t>
      </w:r>
      <w:proofErr w:type="spellEnd"/>
      <w:r w:rsidRPr="00F907BA">
        <w:rPr>
          <w:rFonts w:ascii="Swiss721BT" w:eastAsia="Times New Roman" w:hAnsi="Swiss721BT" w:cs="Times New Roman"/>
          <w:b/>
          <w:bCs/>
          <w:position w:val="6"/>
          <w:sz w:val="10"/>
          <w:szCs w:val="10"/>
        </w:rPr>
        <w:t xml:space="preserve">6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Swiss721BT" w:eastAsia="Times New Roman" w:hAnsi="Swiss721BT" w:cs="Times New Roman"/>
          <w:position w:val="6"/>
          <w:sz w:val="10"/>
          <w:szCs w:val="10"/>
        </w:rPr>
        <w:t>1</w:t>
      </w:r>
      <w:r w:rsidRPr="00F907BA">
        <w:rPr>
          <w:rFonts w:ascii="Swiss721BT" w:eastAsia="Times New Roman" w:hAnsi="Swiss721BT" w:cs="Times New Roman"/>
          <w:sz w:val="16"/>
          <w:szCs w:val="16"/>
        </w:rPr>
        <w:t xml:space="preserve">Department of Natural and Traditional Medicine, Ministry of Public Health,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Swiss721BT" w:eastAsia="Times New Roman" w:hAnsi="Swiss721BT" w:cs="Times New Roman"/>
          <w:position w:val="6"/>
          <w:sz w:val="10"/>
          <w:szCs w:val="10"/>
        </w:rPr>
        <w:t>2</w:t>
      </w:r>
      <w:r w:rsidRPr="00F907BA">
        <w:rPr>
          <w:rFonts w:ascii="Swiss721BT" w:eastAsia="Times New Roman" w:hAnsi="Swiss721BT" w:cs="Times New Roman"/>
          <w:sz w:val="16"/>
          <w:szCs w:val="16"/>
        </w:rPr>
        <w:t xml:space="preserve">AICA Laboratories, </w:t>
      </w:r>
      <w:proofErr w:type="spellStart"/>
      <w:r w:rsidRPr="00F907BA">
        <w:rPr>
          <w:rFonts w:ascii="Swiss721BT" w:eastAsia="Times New Roman" w:hAnsi="Swiss721BT" w:cs="Times New Roman"/>
          <w:sz w:val="16"/>
          <w:szCs w:val="16"/>
        </w:rPr>
        <w:t>BioCubaFarma</w:t>
      </w:r>
      <w:proofErr w:type="spellEnd"/>
      <w:r w:rsidRPr="00F907BA">
        <w:rPr>
          <w:rFonts w:ascii="Swiss721BT" w:eastAsia="Times New Roman" w:hAnsi="Swiss721BT" w:cs="Times New Roman"/>
          <w:sz w:val="16"/>
          <w:szCs w:val="16"/>
        </w:rPr>
        <w:t xml:space="preserve"> Enterprise Group, </w:t>
      </w:r>
      <w:r w:rsidRPr="00F907BA">
        <w:rPr>
          <w:rFonts w:ascii="Swiss721BT" w:eastAsia="Times New Roman" w:hAnsi="Swiss721BT" w:cs="Times New Roman"/>
          <w:position w:val="6"/>
          <w:sz w:val="10"/>
          <w:szCs w:val="10"/>
        </w:rPr>
        <w:t>3</w:t>
      </w:r>
      <w:r w:rsidRPr="00F907BA">
        <w:rPr>
          <w:rFonts w:ascii="Swiss721BT" w:eastAsia="Times New Roman" w:hAnsi="Swiss721BT" w:cs="Times New Roman"/>
          <w:sz w:val="16"/>
          <w:szCs w:val="16"/>
        </w:rPr>
        <w:t xml:space="preserve">Outpatient Clinic, National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Swiss721BT" w:eastAsia="Times New Roman" w:hAnsi="Swiss721BT" w:cs="Times New Roman"/>
          <w:sz w:val="16"/>
          <w:szCs w:val="16"/>
        </w:rPr>
        <w:t xml:space="preserve">Institute of Gastroenterology, </w:t>
      </w:r>
      <w:r w:rsidRPr="00F907BA">
        <w:rPr>
          <w:rFonts w:ascii="Swiss721BT" w:eastAsia="Times New Roman" w:hAnsi="Swiss721BT" w:cs="Times New Roman"/>
          <w:position w:val="6"/>
          <w:sz w:val="10"/>
          <w:szCs w:val="10"/>
        </w:rPr>
        <w:t>4</w:t>
      </w:r>
      <w:r w:rsidRPr="00F907BA">
        <w:rPr>
          <w:rFonts w:ascii="Swiss721BT" w:eastAsia="Times New Roman" w:hAnsi="Swiss721BT" w:cs="Times New Roman"/>
          <w:sz w:val="16"/>
          <w:szCs w:val="16"/>
        </w:rPr>
        <w:t xml:space="preserve">Center for State Control of Drugs, Equipment and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Swiss721BT" w:eastAsia="Times New Roman" w:hAnsi="Swiss721BT" w:cs="Times New Roman"/>
          <w:sz w:val="16"/>
          <w:szCs w:val="16"/>
        </w:rPr>
        <w:t xml:space="preserve">Medical Devices, </w:t>
      </w:r>
      <w:r w:rsidRPr="00F907BA">
        <w:rPr>
          <w:rFonts w:ascii="Swiss721BT" w:eastAsia="Times New Roman" w:hAnsi="Swiss721BT" w:cs="Times New Roman"/>
          <w:position w:val="6"/>
          <w:sz w:val="10"/>
          <w:szCs w:val="10"/>
        </w:rPr>
        <w:t>5</w:t>
      </w:r>
      <w:r w:rsidRPr="00F907BA">
        <w:rPr>
          <w:rFonts w:ascii="Swiss721BT" w:eastAsia="Times New Roman" w:hAnsi="Swiss721BT" w:cs="Times New Roman"/>
          <w:sz w:val="16"/>
          <w:szCs w:val="16"/>
        </w:rPr>
        <w:t xml:space="preserve">Department of Clinical Trials, National Coordinating Center of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Swiss721BT" w:eastAsia="Times New Roman" w:hAnsi="Swiss721BT" w:cs="Times New Roman"/>
          <w:sz w:val="10"/>
          <w:szCs w:val="10"/>
        </w:rPr>
        <w:t>6</w:t>
      </w:r>
      <w:r w:rsidRPr="00F907BA">
        <w:rPr>
          <w:rFonts w:ascii="Swiss721BT" w:eastAsia="Times New Roman" w:hAnsi="Swiss721BT" w:cs="Times New Roman"/>
          <w:sz w:val="10"/>
          <w:szCs w:val="10"/>
        </w:rPr>
        <w:br/>
      </w:r>
      <w:r w:rsidRPr="00F907BA">
        <w:rPr>
          <w:rFonts w:ascii="Swiss721BT" w:eastAsia="Times New Roman" w:hAnsi="Swiss721BT" w:cs="Times New Roman"/>
          <w:sz w:val="16"/>
          <w:szCs w:val="16"/>
        </w:rPr>
        <w:t xml:space="preserve">Clinical Trials, Moringa Project, Entity of Science, Technology and Innovation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Swiss721BT" w:eastAsia="Times New Roman" w:hAnsi="Swiss721BT" w:cs="Times New Roman"/>
          <w:sz w:val="16"/>
          <w:szCs w:val="16"/>
        </w:rPr>
        <w:t xml:space="preserve">(ECTI) Sierra Maestra, Havana, Cuba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Swiss721BT" w:eastAsia="Times New Roman" w:hAnsi="Swiss721BT" w:cs="Times New Roman"/>
          <w:b/>
          <w:bCs/>
          <w:sz w:val="16"/>
          <w:szCs w:val="16"/>
        </w:rPr>
        <w:t xml:space="preserve">*Address for correspondence: </w:t>
      </w:r>
      <w:r w:rsidRPr="00F907BA">
        <w:rPr>
          <w:rFonts w:ascii="Swiss721BT" w:eastAsia="Times New Roman" w:hAnsi="Swiss721BT" w:cs="Times New Roman"/>
          <w:sz w:val="16"/>
          <w:szCs w:val="16"/>
        </w:rPr>
        <w:t xml:space="preserve">Dr. Johann Perdomo Delgado, Calle 23 No. 201 Entre M y N. Plaza de la </w:t>
      </w:r>
      <w:proofErr w:type="spellStart"/>
      <w:r w:rsidRPr="00F907BA">
        <w:rPr>
          <w:rFonts w:ascii="Swiss721BT" w:eastAsia="Times New Roman" w:hAnsi="Swiss721BT" w:cs="Times New Roman"/>
          <w:sz w:val="16"/>
          <w:szCs w:val="16"/>
        </w:rPr>
        <w:t>Revolución</w:t>
      </w:r>
      <w:proofErr w:type="spellEnd"/>
      <w:r w:rsidRPr="00F907BA">
        <w:rPr>
          <w:rFonts w:ascii="Swiss721BT" w:eastAsia="Times New Roman" w:hAnsi="Swiss721BT" w:cs="Times New Roman"/>
          <w:sz w:val="16"/>
          <w:szCs w:val="16"/>
        </w:rPr>
        <w:t xml:space="preserve">, Zip Code: 10400, La Habana, Cuba. E‐mail: johannpd@infomed.sld.cu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Swiss721BT" w:eastAsia="Times New Roman" w:hAnsi="Swiss721BT" w:cs="Times New Roman"/>
          <w:b/>
          <w:bCs/>
          <w:sz w:val="16"/>
          <w:szCs w:val="16"/>
        </w:rPr>
        <w:t xml:space="preserve">Received: </w:t>
      </w:r>
      <w:r w:rsidRPr="00F907BA">
        <w:rPr>
          <w:rFonts w:ascii="Swiss721BT" w:eastAsia="Times New Roman" w:hAnsi="Swiss721BT" w:cs="Times New Roman"/>
          <w:sz w:val="16"/>
          <w:szCs w:val="16"/>
        </w:rPr>
        <w:t xml:space="preserve">06‐Jun‐2020; </w:t>
      </w:r>
      <w:r w:rsidRPr="00F907BA">
        <w:rPr>
          <w:rFonts w:ascii="Swiss721BT" w:eastAsia="Times New Roman" w:hAnsi="Swiss721BT" w:cs="Times New Roman"/>
          <w:b/>
          <w:bCs/>
          <w:sz w:val="16"/>
          <w:szCs w:val="16"/>
        </w:rPr>
        <w:t xml:space="preserve">Revised: </w:t>
      </w:r>
      <w:r w:rsidRPr="00F907BA">
        <w:rPr>
          <w:rFonts w:ascii="Swiss721BT" w:eastAsia="Times New Roman" w:hAnsi="Swiss721BT" w:cs="Times New Roman"/>
          <w:sz w:val="16"/>
          <w:szCs w:val="16"/>
        </w:rPr>
        <w:t xml:space="preserve">11‐Aug‐2020 </w:t>
      </w:r>
      <w:r w:rsidRPr="00F907BA">
        <w:rPr>
          <w:rFonts w:ascii="Swiss721BT" w:eastAsia="Times New Roman" w:hAnsi="Swiss721BT" w:cs="Times New Roman"/>
          <w:b/>
          <w:bCs/>
          <w:sz w:val="16"/>
          <w:szCs w:val="16"/>
        </w:rPr>
        <w:t xml:space="preserve">Accepted: </w:t>
      </w:r>
      <w:r w:rsidRPr="00F907BA">
        <w:rPr>
          <w:rFonts w:ascii="Swiss721BT" w:eastAsia="Times New Roman" w:hAnsi="Swiss721BT" w:cs="Times New Roman"/>
          <w:sz w:val="16"/>
          <w:szCs w:val="16"/>
        </w:rPr>
        <w:t xml:space="preserve">01‐Oct‐2020; </w:t>
      </w:r>
      <w:r w:rsidRPr="00F907BA">
        <w:rPr>
          <w:rFonts w:ascii="Swiss721BT" w:eastAsia="Times New Roman" w:hAnsi="Swiss721BT" w:cs="Times New Roman"/>
          <w:b/>
          <w:bCs/>
          <w:sz w:val="16"/>
          <w:szCs w:val="16"/>
        </w:rPr>
        <w:t xml:space="preserve">Published: </w:t>
      </w:r>
      <w:r w:rsidRPr="00F907BA">
        <w:rPr>
          <w:rFonts w:ascii="Swiss721BT" w:eastAsia="Times New Roman" w:hAnsi="Swiss721BT" w:cs="Times New Roman"/>
          <w:sz w:val="16"/>
          <w:szCs w:val="16"/>
        </w:rPr>
        <w:t xml:space="preserve">20‐Oct‐2020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MT" w:eastAsia="Times New Roman" w:hAnsi="TimesNewRomanPSMT" w:cs="Times New Roman"/>
          <w:sz w:val="12"/>
          <w:szCs w:val="12"/>
        </w:rPr>
        <w:t xml:space="preserve">[2]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MT" w:eastAsia="Times New Roman" w:hAnsi="TimesNewRomanPSMT" w:cs="Times New Roman"/>
          <w:sz w:val="16"/>
          <w:szCs w:val="16"/>
        </w:rPr>
        <w:t xml:space="preserve">© 2020 Indian Journal of Research in Homoeopathy | Published by Wolters Kluwer - </w:t>
      </w:r>
      <w:proofErr w:type="spellStart"/>
      <w:r w:rsidRPr="00F907BA">
        <w:rPr>
          <w:rFonts w:ascii="TimesNewRomanPSMT" w:eastAsia="Times New Roman" w:hAnsi="TimesNewRomanPSMT" w:cs="Times New Roman"/>
          <w:sz w:val="16"/>
          <w:szCs w:val="16"/>
        </w:rPr>
        <w:t>Medknow</w:t>
      </w:r>
      <w:proofErr w:type="spellEnd"/>
      <w:r w:rsidRPr="00F907BA">
        <w:rPr>
          <w:rFonts w:ascii="TimesNewRomanPSMT" w:eastAsia="Times New Roman" w:hAnsi="TimesNewRomanPSMT" w:cs="Times New Roman"/>
          <w:sz w:val="16"/>
          <w:szCs w:val="16"/>
        </w:rPr>
        <w:t xml:space="preserve"> </w:t>
      </w:r>
      <w:r w:rsidRPr="00F907BA">
        <w:rPr>
          <w:rFonts w:ascii="TimesNewRomanPS" w:eastAsia="Times New Roman" w:hAnsi="TimesNewRomanPS" w:cs="Times New Roman"/>
          <w:b/>
          <w:bCs/>
          <w:color w:val="FFFFFF"/>
          <w:sz w:val="16"/>
          <w:szCs w:val="16"/>
        </w:rPr>
        <w:t>1</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Arial" w:eastAsia="Times New Roman" w:hAnsi="Arial" w:cs="Arial"/>
          <w:color w:val="0000FF"/>
          <w:sz w:val="16"/>
          <w:szCs w:val="16"/>
        </w:rPr>
        <w:t xml:space="preserve">[Downloaded free from http://www.ijrh.org on Thursday, December 24, 2020, IP: 241.19.47.165] </w:t>
      </w:r>
    </w:p>
    <w:p w:rsidR="00F907BA" w:rsidRPr="00F907BA" w:rsidRDefault="00F907BA" w:rsidP="00F907BA">
      <w:pPr>
        <w:spacing w:before="100" w:beforeAutospacing="1" w:after="100" w:afterAutospacing="1"/>
        <w:rPr>
          <w:rFonts w:ascii="Times New Roman" w:eastAsia="Times New Roman" w:hAnsi="Times New Roman" w:cs="Times New Roman"/>
        </w:rPr>
      </w:pPr>
      <w:proofErr w:type="spellStart"/>
      <w:r w:rsidRPr="00F907BA">
        <w:rPr>
          <w:rFonts w:ascii="Swiss721BT-BoldCondensed-SC700" w:eastAsia="Times New Roman" w:hAnsi="Swiss721BT-BoldCondensed-SC700" w:cs="Times New Roman"/>
          <w:color w:val="2D9975"/>
          <w:sz w:val="28"/>
          <w:szCs w:val="28"/>
        </w:rPr>
        <w:t>R</w:t>
      </w:r>
      <w:r w:rsidRPr="00F907BA">
        <w:rPr>
          <w:rFonts w:ascii="Swiss721BT-BoldCondensed-SC700" w:eastAsia="Times New Roman" w:hAnsi="Swiss721BT-BoldCondensed-SC700" w:cs="Times New Roman"/>
          <w:color w:val="2D9975"/>
          <w:sz w:val="20"/>
          <w:szCs w:val="20"/>
        </w:rPr>
        <w:t>efeRences</w:t>
      </w:r>
      <w:proofErr w:type="spellEnd"/>
      <w:r w:rsidRPr="00F907BA">
        <w:rPr>
          <w:rFonts w:ascii="Swiss721BT-BoldCondensed-SC700" w:eastAsia="Times New Roman" w:hAnsi="Swiss721BT-BoldCondensed-SC700" w:cs="Times New Roman"/>
          <w:color w:val="2D9975"/>
          <w:sz w:val="20"/>
          <w:szCs w:val="20"/>
        </w:rPr>
        <w:t xml:space="preserve">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MT" w:eastAsia="Times New Roman" w:hAnsi="TimesNewRomanPSMT" w:cs="Times New Roman"/>
          <w:sz w:val="16"/>
          <w:szCs w:val="16"/>
        </w:rPr>
        <w:t>Letter to Editor</w:t>
      </w:r>
      <w:r w:rsidRPr="00F907BA">
        <w:rPr>
          <w:rFonts w:ascii="TimesNewRomanPSMT" w:eastAsia="Times New Roman" w:hAnsi="TimesNewRomanPSMT" w:cs="Times New Roman"/>
          <w:sz w:val="16"/>
          <w:szCs w:val="16"/>
        </w:rPr>
        <w:br/>
        <w:t>Available from: https://rpcec.sld.cu/en/trials/RPCEC00000312</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 xml:space="preserve">En </w:t>
      </w:r>
    </w:p>
    <w:p w:rsidR="00F907BA" w:rsidRPr="00F907BA" w:rsidRDefault="00F907BA" w:rsidP="00F907BA">
      <w:pPr>
        <w:numPr>
          <w:ilvl w:val="0"/>
          <w:numId w:val="1"/>
        </w:numPr>
        <w:spacing w:before="100" w:beforeAutospacing="1" w:after="100" w:afterAutospacing="1"/>
        <w:rPr>
          <w:rFonts w:ascii="TimesNewRomanPSMT" w:eastAsia="Times New Roman" w:hAnsi="TimesNewRomanPSMT" w:cs="Times New Roman"/>
          <w:sz w:val="16"/>
          <w:szCs w:val="16"/>
        </w:rPr>
      </w:pPr>
      <w:proofErr w:type="spellStart"/>
      <w:r w:rsidRPr="00F907BA">
        <w:rPr>
          <w:rFonts w:ascii="TimesNewRomanPSMT" w:eastAsia="Times New Roman" w:hAnsi="TimesNewRomanPSMT" w:cs="Times New Roman"/>
          <w:sz w:val="16"/>
          <w:szCs w:val="16"/>
        </w:rPr>
        <w:t>Bracho</w:t>
      </w:r>
      <w:proofErr w:type="spellEnd"/>
      <w:r w:rsidRPr="00F907BA">
        <w:rPr>
          <w:rFonts w:ascii="TimesNewRomanPSMT" w:eastAsia="Times New Roman" w:hAnsi="TimesNewRomanPSMT" w:cs="Times New Roman"/>
          <w:sz w:val="16"/>
          <w:szCs w:val="16"/>
        </w:rPr>
        <w:t xml:space="preserve"> G, Varela E, </w:t>
      </w:r>
      <w:proofErr w:type="spellStart"/>
      <w:r w:rsidRPr="00F907BA">
        <w:rPr>
          <w:rFonts w:ascii="TimesNewRomanPSMT" w:eastAsia="Times New Roman" w:hAnsi="TimesNewRomanPSMT" w:cs="Times New Roman"/>
          <w:sz w:val="16"/>
          <w:szCs w:val="16"/>
        </w:rPr>
        <w:t>Fernández</w:t>
      </w:r>
      <w:proofErr w:type="spellEnd"/>
      <w:r w:rsidRPr="00F907BA">
        <w:rPr>
          <w:rFonts w:ascii="TimesNewRomanPSMT" w:eastAsia="Times New Roman" w:hAnsi="TimesNewRomanPSMT" w:cs="Times New Roman"/>
          <w:sz w:val="16"/>
          <w:szCs w:val="16"/>
        </w:rPr>
        <w:t xml:space="preserve"> R, </w:t>
      </w:r>
      <w:proofErr w:type="spellStart"/>
      <w:r w:rsidRPr="00F907BA">
        <w:rPr>
          <w:rFonts w:ascii="TimesNewRomanPSMT" w:eastAsia="Times New Roman" w:hAnsi="TimesNewRomanPSMT" w:cs="Times New Roman"/>
          <w:sz w:val="16"/>
          <w:szCs w:val="16"/>
        </w:rPr>
        <w:t>Ordaz</w:t>
      </w:r>
      <w:proofErr w:type="spellEnd"/>
      <w:r w:rsidRPr="00F907BA">
        <w:rPr>
          <w:rFonts w:ascii="TimesNewRomanPSMT" w:eastAsia="Times New Roman" w:hAnsi="TimesNewRomanPSMT" w:cs="Times New Roman"/>
          <w:sz w:val="16"/>
          <w:szCs w:val="16"/>
        </w:rPr>
        <w:t xml:space="preserve"> B, </w:t>
      </w:r>
      <w:proofErr w:type="spellStart"/>
      <w:r w:rsidRPr="00F907BA">
        <w:rPr>
          <w:rFonts w:ascii="TimesNewRomanPSMT" w:eastAsia="Times New Roman" w:hAnsi="TimesNewRomanPSMT" w:cs="Times New Roman"/>
          <w:sz w:val="16"/>
          <w:szCs w:val="16"/>
        </w:rPr>
        <w:t>Marzoa</w:t>
      </w:r>
      <w:proofErr w:type="spellEnd"/>
      <w:r w:rsidRPr="00F907BA">
        <w:rPr>
          <w:rFonts w:ascii="TimesNewRomanPSMT" w:eastAsia="Times New Roman" w:hAnsi="TimesNewRomanPSMT" w:cs="Times New Roman"/>
          <w:sz w:val="16"/>
          <w:szCs w:val="16"/>
        </w:rPr>
        <w:t xml:space="preserve"> N, </w:t>
      </w:r>
      <w:proofErr w:type="spellStart"/>
      <w:r w:rsidRPr="00F907BA">
        <w:rPr>
          <w:rFonts w:ascii="TimesNewRomanPSMT" w:eastAsia="Times New Roman" w:hAnsi="TimesNewRomanPSMT" w:cs="Times New Roman"/>
          <w:sz w:val="16"/>
          <w:szCs w:val="16"/>
        </w:rPr>
        <w:t>Menéndez</w:t>
      </w:r>
      <w:proofErr w:type="spellEnd"/>
      <w:r w:rsidRPr="00F907BA">
        <w:rPr>
          <w:rFonts w:ascii="TimesNewRomanPSMT" w:eastAsia="Times New Roman" w:hAnsi="TimesNewRomanPSMT" w:cs="Times New Roman"/>
          <w:sz w:val="16"/>
          <w:szCs w:val="16"/>
        </w:rPr>
        <w:t xml:space="preserve"> J, </w:t>
      </w:r>
      <w:r w:rsidRPr="00F907BA">
        <w:rPr>
          <w:rFonts w:ascii="TimesNewRomanPS" w:eastAsia="Times New Roman" w:hAnsi="TimesNewRomanPS" w:cs="Times New Roman"/>
          <w:i/>
          <w:iCs/>
          <w:sz w:val="16"/>
          <w:szCs w:val="16"/>
        </w:rPr>
        <w:t>et al</w:t>
      </w:r>
      <w:r w:rsidRPr="00F907BA">
        <w:rPr>
          <w:rFonts w:ascii="TimesNewRomanPSMT" w:eastAsia="Times New Roman" w:hAnsi="TimesNewRomanPSMT" w:cs="Times New Roman"/>
          <w:sz w:val="16"/>
          <w:szCs w:val="16"/>
        </w:rPr>
        <w:t>. Large</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scale application of highly</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 xml:space="preserve">diluted bacteria for leptospirosis epidemic control. Homeopathy </w:t>
      </w:r>
      <w:proofErr w:type="gramStart"/>
      <w:r w:rsidRPr="00F907BA">
        <w:rPr>
          <w:rFonts w:ascii="TimesNewRomanPSMT" w:eastAsia="Times New Roman" w:hAnsi="TimesNewRomanPSMT" w:cs="Times New Roman"/>
          <w:sz w:val="16"/>
          <w:szCs w:val="16"/>
        </w:rPr>
        <w:t>2010;99:156</w:t>
      </w:r>
      <w:proofErr w:type="gramEnd"/>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 xml:space="preserve">66. </w:t>
      </w:r>
    </w:p>
    <w:p w:rsidR="00F907BA" w:rsidRPr="00F907BA" w:rsidRDefault="00F907BA" w:rsidP="00F907BA">
      <w:pPr>
        <w:numPr>
          <w:ilvl w:val="0"/>
          <w:numId w:val="1"/>
        </w:numPr>
        <w:spacing w:before="100" w:beforeAutospacing="1" w:after="100" w:afterAutospacing="1"/>
        <w:rPr>
          <w:rFonts w:ascii="TimesNewRomanPSMT" w:eastAsia="Times New Roman" w:hAnsi="TimesNewRomanPSMT" w:cs="Times New Roman"/>
          <w:sz w:val="16"/>
          <w:szCs w:val="16"/>
        </w:rPr>
      </w:pPr>
      <w:r w:rsidRPr="00F907BA">
        <w:rPr>
          <w:rFonts w:ascii="TimesNewRomanPSMT" w:eastAsia="Times New Roman" w:hAnsi="TimesNewRomanPSMT" w:cs="Times New Roman"/>
          <w:sz w:val="16"/>
          <w:szCs w:val="16"/>
        </w:rPr>
        <w:t>Cuba’s COVID</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 xml:space="preserve">19 Strategy: Main actions through April 23, 2020. </w:t>
      </w:r>
      <w:proofErr w:type="spellStart"/>
      <w:r w:rsidRPr="00F907BA">
        <w:rPr>
          <w:rFonts w:ascii="TimesNewRomanPSMT" w:eastAsia="Times New Roman" w:hAnsi="TimesNewRomanPSMT" w:cs="Times New Roman"/>
          <w:sz w:val="16"/>
          <w:szCs w:val="16"/>
        </w:rPr>
        <w:t>Medicc</w:t>
      </w:r>
      <w:proofErr w:type="spellEnd"/>
      <w:r w:rsidRPr="00F907BA">
        <w:rPr>
          <w:rFonts w:ascii="TimesNewRomanPSMT" w:eastAsia="Times New Roman" w:hAnsi="TimesNewRomanPSMT" w:cs="Times New Roman"/>
          <w:sz w:val="16"/>
          <w:szCs w:val="16"/>
        </w:rPr>
        <w:t xml:space="preserve"> Rev </w:t>
      </w:r>
      <w:proofErr w:type="gramStart"/>
      <w:r w:rsidRPr="00F907BA">
        <w:rPr>
          <w:rFonts w:ascii="TimesNewRomanPSMT" w:eastAsia="Times New Roman" w:hAnsi="TimesNewRomanPSMT" w:cs="Times New Roman"/>
          <w:sz w:val="16"/>
          <w:szCs w:val="16"/>
        </w:rPr>
        <w:t>2020;22:50</w:t>
      </w:r>
      <w:proofErr w:type="gramEnd"/>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2. Available from: https://mediccreview.org/ cubas</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covid</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19</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strategy</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main</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actions</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through</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april</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23</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 xml:space="preserve">2020/. [Last accessed on 2020 May 12]. </w:t>
      </w:r>
    </w:p>
    <w:p w:rsidR="00F907BA" w:rsidRPr="00F907BA" w:rsidRDefault="00F907BA" w:rsidP="00F907BA">
      <w:pPr>
        <w:numPr>
          <w:ilvl w:val="0"/>
          <w:numId w:val="1"/>
        </w:numPr>
        <w:spacing w:before="100" w:beforeAutospacing="1" w:after="100" w:afterAutospacing="1"/>
        <w:rPr>
          <w:rFonts w:ascii="TimesNewRomanPSMT" w:eastAsia="Times New Roman" w:hAnsi="TimesNewRomanPSMT" w:cs="Times New Roman"/>
          <w:sz w:val="16"/>
          <w:szCs w:val="16"/>
        </w:rPr>
      </w:pPr>
      <w:r w:rsidRPr="00F907BA">
        <w:rPr>
          <w:rFonts w:ascii="TimesNewRomanPSMT" w:eastAsia="Times New Roman" w:hAnsi="TimesNewRomanPSMT" w:cs="Times New Roman"/>
          <w:sz w:val="16"/>
          <w:szCs w:val="16"/>
        </w:rPr>
        <w:t>Ministry of Public Health. National Action Protocol For COVID</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19. Version 1.4. (Provisional version for health staff working in the treatment of patients); 2020. Available from: http://files.sld.cu/editorhome/files/2020/05/MINSAP_ Protocolo</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de</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Actuaci%C3%B3n</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Nacional</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para</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la</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COVID</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19_ versi%C3%B3n</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1.4_mayo</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 xml:space="preserve">2020.pdf. [Last accessed on 2020 May 12]. </w:t>
      </w:r>
    </w:p>
    <w:p w:rsidR="00F907BA" w:rsidRPr="00F907BA" w:rsidRDefault="00F907BA" w:rsidP="00F907BA">
      <w:pPr>
        <w:numPr>
          <w:ilvl w:val="0"/>
          <w:numId w:val="1"/>
        </w:numPr>
        <w:spacing w:before="100" w:beforeAutospacing="1" w:after="100" w:afterAutospacing="1"/>
        <w:rPr>
          <w:rFonts w:ascii="TimesNewRomanPSMT" w:eastAsia="Times New Roman" w:hAnsi="TimesNewRomanPSMT" w:cs="Times New Roman"/>
          <w:sz w:val="16"/>
          <w:szCs w:val="16"/>
        </w:rPr>
      </w:pPr>
      <w:r w:rsidRPr="00F907BA">
        <w:rPr>
          <w:rFonts w:ascii="TimesNewRomanPSMT" w:eastAsia="Times New Roman" w:hAnsi="TimesNewRomanPSMT" w:cs="Times New Roman"/>
          <w:sz w:val="16"/>
          <w:szCs w:val="16"/>
        </w:rPr>
        <w:lastRenderedPageBreak/>
        <w:t xml:space="preserve">CECMED. </w:t>
      </w:r>
      <w:proofErr w:type="spellStart"/>
      <w:r w:rsidRPr="00F907BA">
        <w:rPr>
          <w:rFonts w:ascii="TimesNewRomanPSMT" w:eastAsia="Times New Roman" w:hAnsi="TimesNewRomanPSMT" w:cs="Times New Roman"/>
          <w:sz w:val="16"/>
          <w:szCs w:val="16"/>
        </w:rPr>
        <w:t>Resumen</w:t>
      </w:r>
      <w:proofErr w:type="spellEnd"/>
      <w:r w:rsidRPr="00F907BA">
        <w:rPr>
          <w:rFonts w:ascii="TimesNewRomanPSMT" w:eastAsia="Times New Roman" w:hAnsi="TimesNewRomanPSMT" w:cs="Times New Roman"/>
          <w:sz w:val="16"/>
          <w:szCs w:val="16"/>
        </w:rPr>
        <w:t xml:space="preserve"> de las </w:t>
      </w:r>
      <w:proofErr w:type="spellStart"/>
      <w:r w:rsidRPr="00F907BA">
        <w:rPr>
          <w:rFonts w:ascii="TimesNewRomanPSMT" w:eastAsia="Times New Roman" w:hAnsi="TimesNewRomanPSMT" w:cs="Times New Roman"/>
          <w:sz w:val="16"/>
          <w:szCs w:val="16"/>
        </w:rPr>
        <w:t>Características</w:t>
      </w:r>
      <w:proofErr w:type="spellEnd"/>
      <w:r w:rsidRPr="00F907BA">
        <w:rPr>
          <w:rFonts w:ascii="TimesNewRomanPSMT" w:eastAsia="Times New Roman" w:hAnsi="TimesNewRomanPSMT" w:cs="Times New Roman"/>
          <w:sz w:val="16"/>
          <w:szCs w:val="16"/>
        </w:rPr>
        <w:t xml:space="preserve"> del </w:t>
      </w:r>
      <w:proofErr w:type="spellStart"/>
      <w:r w:rsidRPr="00F907BA">
        <w:rPr>
          <w:rFonts w:ascii="TimesNewRomanPSMT" w:eastAsia="Times New Roman" w:hAnsi="TimesNewRomanPSMT" w:cs="Times New Roman"/>
          <w:sz w:val="16"/>
          <w:szCs w:val="16"/>
        </w:rPr>
        <w:t>Producto</w:t>
      </w:r>
      <w:proofErr w:type="spellEnd"/>
      <w:r w:rsidRPr="00F907BA">
        <w:rPr>
          <w:rFonts w:ascii="TimesNewRomanPSMT" w:eastAsia="Times New Roman" w:hAnsi="TimesNewRomanPSMT" w:cs="Times New Roman"/>
          <w:sz w:val="16"/>
          <w:szCs w:val="16"/>
        </w:rPr>
        <w:t xml:space="preserve">. </w:t>
      </w:r>
      <w:proofErr w:type="spellStart"/>
      <w:r w:rsidRPr="00F907BA">
        <w:rPr>
          <w:rFonts w:ascii="TimesNewRomanPSMT" w:eastAsia="Times New Roman" w:hAnsi="TimesNewRomanPSMT" w:cs="Times New Roman"/>
          <w:sz w:val="16"/>
          <w:szCs w:val="16"/>
        </w:rPr>
        <w:t>PrevengHo</w:t>
      </w:r>
      <w:proofErr w:type="spellEnd"/>
      <w:r w:rsidRPr="00F907BA">
        <w:rPr>
          <w:rFonts w:ascii="TimesNewRomanPSMT" w:eastAsia="Times New Roman" w:hAnsi="TimesNewRomanPSMT" w:cs="Times New Roman"/>
          <w:sz w:val="16"/>
          <w:szCs w:val="16"/>
        </w:rPr>
        <w:t>®</w:t>
      </w:r>
      <w:r w:rsidRPr="00F907BA">
        <w:rPr>
          <w:rFonts w:ascii="Cambria Math" w:eastAsia="Times New Roman" w:hAnsi="Cambria Math" w:cs="Cambria Math"/>
          <w:sz w:val="16"/>
          <w:szCs w:val="16"/>
        </w:rPr>
        <w:t>‐</w:t>
      </w:r>
      <w:proofErr w:type="spellStart"/>
      <w:r w:rsidRPr="00F907BA">
        <w:rPr>
          <w:rFonts w:ascii="TimesNewRomanPSMT" w:eastAsia="Times New Roman" w:hAnsi="TimesNewRomanPSMT" w:cs="Times New Roman"/>
          <w:sz w:val="16"/>
          <w:szCs w:val="16"/>
        </w:rPr>
        <w:t>Vir</w:t>
      </w:r>
      <w:proofErr w:type="spellEnd"/>
      <w:r w:rsidRPr="00F907BA">
        <w:rPr>
          <w:rFonts w:ascii="TimesNewRomanPSMT" w:eastAsia="Times New Roman" w:hAnsi="TimesNewRomanPSMT" w:cs="Times New Roman"/>
          <w:sz w:val="16"/>
          <w:szCs w:val="16"/>
        </w:rPr>
        <w:t xml:space="preserve">; 2020. Available from: https://www.cecmed.cu/ </w:t>
      </w:r>
      <w:proofErr w:type="spellStart"/>
      <w:r w:rsidRPr="00F907BA">
        <w:rPr>
          <w:rFonts w:ascii="TimesNewRomanPSMT" w:eastAsia="Times New Roman" w:hAnsi="TimesNewRomanPSMT" w:cs="Times New Roman"/>
          <w:sz w:val="16"/>
          <w:szCs w:val="16"/>
        </w:rPr>
        <w:t>registro</w:t>
      </w:r>
      <w:proofErr w:type="spellEnd"/>
      <w:r w:rsidRPr="00F907BA">
        <w:rPr>
          <w:rFonts w:ascii="TimesNewRomanPSMT" w:eastAsia="Times New Roman" w:hAnsi="TimesNewRomanPSMT" w:cs="Times New Roman"/>
          <w:sz w:val="16"/>
          <w:szCs w:val="16"/>
        </w:rPr>
        <w:t>/</w:t>
      </w:r>
      <w:proofErr w:type="spellStart"/>
      <w:r w:rsidRPr="00F907BA">
        <w:rPr>
          <w:rFonts w:ascii="TimesNewRomanPSMT" w:eastAsia="Times New Roman" w:hAnsi="TimesNewRomanPSMT" w:cs="Times New Roman"/>
          <w:sz w:val="16"/>
          <w:szCs w:val="16"/>
        </w:rPr>
        <w:t>rcp</w:t>
      </w:r>
      <w:proofErr w:type="spellEnd"/>
      <w:r w:rsidRPr="00F907BA">
        <w:rPr>
          <w:rFonts w:ascii="TimesNewRomanPSMT" w:eastAsia="Times New Roman" w:hAnsi="TimesNewRomanPSMT" w:cs="Times New Roman"/>
          <w:sz w:val="16"/>
          <w:szCs w:val="16"/>
        </w:rPr>
        <w:t>/</w:t>
      </w:r>
      <w:proofErr w:type="spellStart"/>
      <w:r w:rsidRPr="00F907BA">
        <w:rPr>
          <w:rFonts w:ascii="TimesNewRomanPSMT" w:eastAsia="Times New Roman" w:hAnsi="TimesNewRomanPSMT" w:cs="Times New Roman"/>
          <w:sz w:val="16"/>
          <w:szCs w:val="16"/>
        </w:rPr>
        <w:t>prevenghor</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vir</w:t>
      </w:r>
      <w:proofErr w:type="spellEnd"/>
      <w:r w:rsidRPr="00F907BA">
        <w:rPr>
          <w:rFonts w:ascii="TimesNewRomanPSMT" w:eastAsia="Times New Roman" w:hAnsi="TimesNewRomanPSMT" w:cs="Times New Roman"/>
          <w:sz w:val="16"/>
          <w:szCs w:val="16"/>
        </w:rPr>
        <w:t xml:space="preserve">. [Last accessed on 2020 May 18]. </w:t>
      </w:r>
    </w:p>
    <w:p w:rsidR="00F907BA" w:rsidRPr="00F907BA" w:rsidRDefault="00F907BA" w:rsidP="00F907BA">
      <w:pPr>
        <w:numPr>
          <w:ilvl w:val="0"/>
          <w:numId w:val="1"/>
        </w:numPr>
        <w:spacing w:before="100" w:beforeAutospacing="1" w:after="100" w:afterAutospacing="1"/>
        <w:rPr>
          <w:rFonts w:ascii="TimesNewRomanPSMT" w:eastAsia="Times New Roman" w:hAnsi="TimesNewRomanPSMT" w:cs="Times New Roman"/>
          <w:sz w:val="16"/>
          <w:szCs w:val="16"/>
        </w:rPr>
      </w:pPr>
      <w:r w:rsidRPr="00F907BA">
        <w:rPr>
          <w:rFonts w:ascii="TimesNewRomanPSMT" w:eastAsia="Times New Roman" w:hAnsi="TimesNewRomanPSMT" w:cs="Times New Roman"/>
          <w:sz w:val="16"/>
          <w:szCs w:val="16"/>
        </w:rPr>
        <w:t xml:space="preserve">Department of Natural and Traditional Medicine, Ministry of Public Health, Republic of Cuba. Homeoprophylaxis Safety Study with </w:t>
      </w:r>
      <w:proofErr w:type="spellStart"/>
      <w:r w:rsidRPr="00F907BA">
        <w:rPr>
          <w:rFonts w:ascii="TimesNewRomanPSMT" w:eastAsia="Times New Roman" w:hAnsi="TimesNewRomanPSMT" w:cs="Times New Roman"/>
          <w:sz w:val="16"/>
          <w:szCs w:val="16"/>
        </w:rPr>
        <w:t>PrevengHo</w:t>
      </w:r>
      <w:proofErr w:type="spellEnd"/>
      <w:r w:rsidRPr="00F907BA">
        <w:rPr>
          <w:rFonts w:ascii="TimesNewRomanPSMT" w:eastAsia="Times New Roman" w:hAnsi="TimesNewRomanPSMT" w:cs="Times New Roman"/>
          <w:sz w:val="16"/>
          <w:szCs w:val="16"/>
        </w:rPr>
        <w:t>®</w:t>
      </w:r>
      <w:r w:rsidRPr="00F907BA">
        <w:rPr>
          <w:rFonts w:ascii="Cambria Math" w:eastAsia="Times New Roman" w:hAnsi="Cambria Math" w:cs="Cambria Math"/>
          <w:sz w:val="16"/>
          <w:szCs w:val="16"/>
        </w:rPr>
        <w:t>‐</w:t>
      </w:r>
      <w:proofErr w:type="spellStart"/>
      <w:r w:rsidRPr="00F907BA">
        <w:rPr>
          <w:rFonts w:ascii="TimesNewRomanPSMT" w:eastAsia="Times New Roman" w:hAnsi="TimesNewRomanPSMT" w:cs="Times New Roman"/>
          <w:sz w:val="16"/>
          <w:szCs w:val="16"/>
        </w:rPr>
        <w:t>Vir</w:t>
      </w:r>
      <w:proofErr w:type="spellEnd"/>
      <w:r w:rsidRPr="00F907BA">
        <w:rPr>
          <w:rFonts w:ascii="TimesNewRomanPSMT" w:eastAsia="Times New Roman" w:hAnsi="TimesNewRomanPSMT" w:cs="Times New Roman"/>
          <w:sz w:val="16"/>
          <w:szCs w:val="16"/>
        </w:rPr>
        <w:t xml:space="preserve"> in the Context of the COVID</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19 Pandemic in Cuba. Quasi</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Experimental Study Post</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Registration (COVID</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 xml:space="preserve">19); 2020.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MT" w:eastAsia="Times New Roman" w:hAnsi="TimesNewRomanPSMT" w:cs="Times New Roman"/>
          <w:sz w:val="16"/>
          <w:szCs w:val="16"/>
        </w:rPr>
        <w:t xml:space="preserve">[Last </w:t>
      </w:r>
      <w:proofErr w:type="spellStart"/>
      <w:r w:rsidRPr="00F907BA">
        <w:rPr>
          <w:rFonts w:ascii="TimesNewRomanPSMT" w:eastAsia="Times New Roman" w:hAnsi="TimesNewRomanPSMT" w:cs="Times New Roman"/>
          <w:sz w:val="16"/>
          <w:szCs w:val="16"/>
        </w:rPr>
        <w:t>acessed</w:t>
      </w:r>
      <w:proofErr w:type="spellEnd"/>
      <w:r w:rsidRPr="00F907BA">
        <w:rPr>
          <w:rFonts w:ascii="TimesNewRomanPSMT" w:eastAsia="Times New Roman" w:hAnsi="TimesNewRomanPSMT" w:cs="Times New Roman"/>
          <w:sz w:val="16"/>
          <w:szCs w:val="16"/>
        </w:rPr>
        <w:t xml:space="preserve"> on 2020 May 18]. </w:t>
      </w:r>
    </w:p>
    <w:p w:rsidR="00F907BA" w:rsidRDefault="00F907BA" w:rsidP="00F907BA">
      <w:pPr>
        <w:spacing w:before="100" w:beforeAutospacing="1" w:after="100" w:afterAutospacing="1"/>
        <w:rPr>
          <w:rFonts w:ascii="Times New Roman" w:eastAsia="Times New Roman" w:hAnsi="Times New Roman" w:cs="Times New Roman"/>
        </w:rPr>
      </w:pPr>
      <w:r w:rsidRPr="00F907BA">
        <w:rPr>
          <w:rFonts w:ascii="Calibri" w:eastAsia="Times New Roman" w:hAnsi="Calibri" w:cs="Calibri"/>
          <w:sz w:val="14"/>
          <w:szCs w:val="14"/>
        </w:rPr>
        <w:t>This is an open access journal, and articles are distributed under the terms of the Creative Commons Attribution‐</w:t>
      </w:r>
      <w:proofErr w:type="spellStart"/>
      <w:r w:rsidRPr="00F907BA">
        <w:rPr>
          <w:rFonts w:ascii="Calibri" w:eastAsia="Times New Roman" w:hAnsi="Calibri" w:cs="Calibri"/>
          <w:sz w:val="14"/>
          <w:szCs w:val="14"/>
        </w:rPr>
        <w:t>NonCommercial</w:t>
      </w:r>
      <w:proofErr w:type="spellEnd"/>
      <w:r w:rsidRPr="00F907BA">
        <w:rPr>
          <w:rFonts w:ascii="Calibri" w:eastAsia="Times New Roman" w:hAnsi="Calibri" w:cs="Calibri"/>
          <w:sz w:val="14"/>
          <w:szCs w:val="14"/>
        </w:rPr>
        <w:t>‐</w:t>
      </w:r>
      <w:proofErr w:type="spellStart"/>
      <w:r w:rsidRPr="00F907BA">
        <w:rPr>
          <w:rFonts w:ascii="Calibri" w:eastAsia="Times New Roman" w:hAnsi="Calibri" w:cs="Calibri"/>
          <w:sz w:val="14"/>
          <w:szCs w:val="14"/>
        </w:rPr>
        <w:t>ShareAlike</w:t>
      </w:r>
      <w:proofErr w:type="spellEnd"/>
      <w:r w:rsidRPr="00F907BA">
        <w:rPr>
          <w:rFonts w:ascii="Calibri" w:eastAsia="Times New Roman" w:hAnsi="Calibri" w:cs="Calibri"/>
          <w:sz w:val="14"/>
          <w:szCs w:val="14"/>
        </w:rPr>
        <w:t xml:space="preserve"> 4.0 License, which allows others to remix, tweak, and build upon the work non‐commercially, as long as appropriate credit is given and the new creations are licensed under the identical terms.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 w:eastAsia="Times New Roman" w:hAnsi="TimesNewRomanPS" w:cs="Times New Roman"/>
          <w:b/>
          <w:bCs/>
          <w:sz w:val="14"/>
          <w:szCs w:val="14"/>
        </w:rPr>
        <w:t xml:space="preserve">Quick Response Code: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 w:eastAsia="Times New Roman" w:hAnsi="TimesNewRomanPS" w:cs="Times New Roman"/>
          <w:b/>
          <w:bCs/>
          <w:color w:val="FFFFFF"/>
          <w:sz w:val="14"/>
          <w:szCs w:val="14"/>
          <w:shd w:val="clear" w:color="auto" w:fill="2D9975"/>
        </w:rPr>
        <w:t xml:space="preserve">Access this article online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 w:eastAsia="Times New Roman" w:hAnsi="TimesNewRomanPS" w:cs="Times New Roman"/>
          <w:b/>
          <w:bCs/>
          <w:sz w:val="14"/>
          <w:szCs w:val="14"/>
        </w:rPr>
        <w:t xml:space="preserve">Website: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MT" w:eastAsia="Times New Roman" w:hAnsi="TimesNewRomanPSMT" w:cs="Times New Roman"/>
          <w:sz w:val="14"/>
          <w:szCs w:val="14"/>
        </w:rPr>
        <w:t xml:space="preserve">www.ijrh.org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 w:eastAsia="Times New Roman" w:hAnsi="TimesNewRomanPS" w:cs="Times New Roman"/>
          <w:b/>
          <w:bCs/>
          <w:sz w:val="14"/>
          <w:szCs w:val="14"/>
        </w:rPr>
        <w:t xml:space="preserve">DOI: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MT" w:eastAsia="Times New Roman" w:hAnsi="TimesNewRomanPSMT" w:cs="Times New Roman"/>
          <w:sz w:val="14"/>
          <w:szCs w:val="14"/>
        </w:rPr>
        <w:t xml:space="preserve">10.4103/ijrh.ijrh_63_20 </w:t>
      </w:r>
    </w:p>
    <w:p w:rsidR="00F907BA" w:rsidRPr="00F907BA" w:rsidRDefault="00F907BA" w:rsidP="00F907BA">
      <w:pPr>
        <w:rPr>
          <w:rFonts w:ascii="Times New Roman" w:eastAsia="Times New Roman" w:hAnsi="Times New Roman" w:cs="Times New Roman"/>
        </w:rPr>
      </w:pPr>
      <w:bookmarkStart w:id="0" w:name="_GoBack"/>
      <w:bookmarkEnd w:id="0"/>
      <w:r w:rsidRPr="00F907BA">
        <w:rPr>
          <w:rFonts w:ascii="TimesNewRomanPSMT" w:eastAsia="Times New Roman" w:hAnsi="TimesNewRomanPSMT" w:cs="Times New Roman"/>
          <w:sz w:val="16"/>
          <w:szCs w:val="16"/>
        </w:rPr>
        <w:t xml:space="preserve">Indian Journal of Research in Homoeopathy ¦ Volume XX ¦ Issue XX ¦ Month 2020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 w:eastAsia="Times New Roman" w:hAnsi="TimesNewRomanPS" w:cs="Times New Roman"/>
          <w:b/>
          <w:bCs/>
          <w:sz w:val="16"/>
          <w:szCs w:val="16"/>
        </w:rPr>
        <w:t xml:space="preserve">How to cite this article: </w:t>
      </w:r>
      <w:r w:rsidRPr="00F907BA">
        <w:rPr>
          <w:rFonts w:ascii="TimesNewRomanPSMT" w:eastAsia="Times New Roman" w:hAnsi="TimesNewRomanPSMT" w:cs="Times New Roman"/>
          <w:sz w:val="16"/>
          <w:szCs w:val="16"/>
        </w:rPr>
        <w:t xml:space="preserve">Delgado JP, Garcia AE, </w:t>
      </w:r>
      <w:proofErr w:type="spellStart"/>
      <w:r w:rsidRPr="00F907BA">
        <w:rPr>
          <w:rFonts w:ascii="TimesNewRomanPSMT" w:eastAsia="Times New Roman" w:hAnsi="TimesNewRomanPSMT" w:cs="Times New Roman"/>
          <w:sz w:val="16"/>
          <w:szCs w:val="16"/>
        </w:rPr>
        <w:t>Pla</w:t>
      </w:r>
      <w:proofErr w:type="spellEnd"/>
      <w:r w:rsidRPr="00F907BA">
        <w:rPr>
          <w:rFonts w:ascii="TimesNewRomanPSMT" w:eastAsia="Times New Roman" w:hAnsi="TimesNewRomanPSMT" w:cs="Times New Roman"/>
          <w:sz w:val="16"/>
          <w:szCs w:val="16"/>
        </w:rPr>
        <w:t xml:space="preserve"> EA, </w:t>
      </w:r>
      <w:proofErr w:type="spellStart"/>
      <w:r w:rsidRPr="00F907BA">
        <w:rPr>
          <w:rFonts w:ascii="TimesNewRomanPSMT" w:eastAsia="Times New Roman" w:hAnsi="TimesNewRomanPSMT" w:cs="Times New Roman"/>
          <w:sz w:val="16"/>
          <w:szCs w:val="16"/>
        </w:rPr>
        <w:t>Peña</w:t>
      </w:r>
      <w:proofErr w:type="spellEnd"/>
      <w:r w:rsidRPr="00F907BA">
        <w:rPr>
          <w:rFonts w:ascii="TimesNewRomanPSMT" w:eastAsia="Times New Roman" w:hAnsi="TimesNewRomanPSMT" w:cs="Times New Roman"/>
          <w:sz w:val="16"/>
          <w:szCs w:val="16"/>
        </w:rPr>
        <w:t xml:space="preserve"> LA, Figueredo DD, Rodriguez AI, </w:t>
      </w:r>
      <w:r w:rsidRPr="00F907BA">
        <w:rPr>
          <w:rFonts w:ascii="TimesNewRomanPS" w:eastAsia="Times New Roman" w:hAnsi="TimesNewRomanPS" w:cs="Times New Roman"/>
          <w:i/>
          <w:iCs/>
          <w:sz w:val="16"/>
          <w:szCs w:val="16"/>
        </w:rPr>
        <w:t>et al</w:t>
      </w:r>
      <w:r w:rsidRPr="00F907BA">
        <w:rPr>
          <w:rFonts w:ascii="TimesNewRomanPSMT" w:eastAsia="Times New Roman" w:hAnsi="TimesNewRomanPSMT" w:cs="Times New Roman"/>
          <w:sz w:val="16"/>
          <w:szCs w:val="16"/>
        </w:rPr>
        <w:t>. Large</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 xml:space="preserve">scale </w:t>
      </w:r>
      <w:proofErr w:type="spellStart"/>
      <w:r w:rsidRPr="00F907BA">
        <w:rPr>
          <w:rFonts w:ascii="TimesNewRomanPSMT" w:eastAsia="Times New Roman" w:hAnsi="TimesNewRomanPSMT" w:cs="Times New Roman"/>
          <w:sz w:val="16"/>
          <w:szCs w:val="16"/>
        </w:rPr>
        <w:t>homoeoprophylaxis</w:t>
      </w:r>
      <w:proofErr w:type="spellEnd"/>
      <w:r w:rsidRPr="00F907BA">
        <w:rPr>
          <w:rFonts w:ascii="TimesNewRomanPSMT" w:eastAsia="Times New Roman" w:hAnsi="TimesNewRomanPSMT" w:cs="Times New Roman"/>
          <w:sz w:val="16"/>
          <w:szCs w:val="16"/>
        </w:rPr>
        <w:t xml:space="preserve"> as an add</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on measure to prevent COVID</w:t>
      </w:r>
      <w:r w:rsidRPr="00F907BA">
        <w:rPr>
          <w:rFonts w:ascii="Cambria Math" w:eastAsia="Times New Roman" w:hAnsi="Cambria Math" w:cs="Cambria Math"/>
          <w:sz w:val="16"/>
          <w:szCs w:val="16"/>
        </w:rPr>
        <w:t>‐</w:t>
      </w:r>
      <w:r w:rsidRPr="00F907BA">
        <w:rPr>
          <w:rFonts w:ascii="TimesNewRomanPSMT" w:eastAsia="Times New Roman" w:hAnsi="TimesNewRomanPSMT" w:cs="Times New Roman"/>
          <w:sz w:val="16"/>
          <w:szCs w:val="16"/>
        </w:rPr>
        <w:t xml:space="preserve">19 disease: Cuban preliminary experiences. Indian J Res Homoeopathy </w:t>
      </w:r>
      <w:proofErr w:type="gramStart"/>
      <w:r w:rsidRPr="00F907BA">
        <w:rPr>
          <w:rFonts w:ascii="TimesNewRomanPSMT" w:eastAsia="Times New Roman" w:hAnsi="TimesNewRomanPSMT" w:cs="Times New Roman"/>
          <w:sz w:val="16"/>
          <w:szCs w:val="16"/>
        </w:rPr>
        <w:t>0;0:0</w:t>
      </w:r>
      <w:proofErr w:type="gramEnd"/>
      <w:r w:rsidRPr="00F907BA">
        <w:rPr>
          <w:rFonts w:ascii="TimesNewRomanPSMT" w:eastAsia="Times New Roman" w:hAnsi="TimesNewRomanPSMT" w:cs="Times New Roman"/>
          <w:sz w:val="16"/>
          <w:szCs w:val="16"/>
        </w:rPr>
        <w:t xml:space="preserve">. </w:t>
      </w:r>
    </w:p>
    <w:p w:rsidR="00F907BA" w:rsidRPr="00F907BA" w:rsidRDefault="00F907BA" w:rsidP="00F907BA">
      <w:pPr>
        <w:spacing w:before="100" w:beforeAutospacing="1" w:after="100" w:afterAutospacing="1"/>
        <w:rPr>
          <w:rFonts w:ascii="Times New Roman" w:eastAsia="Times New Roman" w:hAnsi="Times New Roman" w:cs="Times New Roman"/>
        </w:rPr>
      </w:pPr>
      <w:r w:rsidRPr="00F907BA">
        <w:rPr>
          <w:rFonts w:ascii="TimesNewRomanPSMT" w:eastAsia="Times New Roman" w:hAnsi="TimesNewRomanPSMT" w:cs="Times New Roman"/>
          <w:sz w:val="12"/>
          <w:szCs w:val="12"/>
        </w:rPr>
        <w:t xml:space="preserve">© 2020 Indian Journal of Research in Homoeopathy | Published by Wolters Kluwer </w:t>
      </w:r>
      <w:r w:rsidRPr="00F907BA">
        <w:rPr>
          <w:rFonts w:ascii="Cambria Math" w:eastAsia="Times New Roman" w:hAnsi="Cambria Math" w:cs="Cambria Math"/>
          <w:sz w:val="12"/>
          <w:szCs w:val="12"/>
        </w:rPr>
        <w:t>‐</w:t>
      </w:r>
      <w:r w:rsidRPr="00F907BA">
        <w:rPr>
          <w:rFonts w:ascii="TimesNewRomanPSMT" w:eastAsia="Times New Roman" w:hAnsi="TimesNewRomanPSMT" w:cs="Times New Roman"/>
          <w:sz w:val="12"/>
          <w:szCs w:val="12"/>
        </w:rPr>
        <w:t xml:space="preserve"> </w:t>
      </w:r>
      <w:proofErr w:type="spellStart"/>
      <w:r w:rsidRPr="00F907BA">
        <w:rPr>
          <w:rFonts w:ascii="TimesNewRomanPSMT" w:eastAsia="Times New Roman" w:hAnsi="TimesNewRomanPSMT" w:cs="Times New Roman"/>
          <w:sz w:val="12"/>
          <w:szCs w:val="12"/>
        </w:rPr>
        <w:t>Medknow</w:t>
      </w:r>
      <w:proofErr w:type="spellEnd"/>
      <w:r w:rsidRPr="00F907BA">
        <w:rPr>
          <w:rFonts w:ascii="TimesNewRomanPSMT" w:eastAsia="Times New Roman" w:hAnsi="TimesNewRomanPSMT" w:cs="Times New Roman"/>
          <w:sz w:val="12"/>
          <w:szCs w:val="12"/>
        </w:rPr>
        <w:t xml:space="preserve"> </w:t>
      </w:r>
    </w:p>
    <w:p w:rsidR="004939FA" w:rsidRDefault="004939FA"/>
    <w:sectPr w:rsidR="004939FA" w:rsidSect="00D42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wiss721BT">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wiss721BT-BoldCondensed-SC70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A67B7"/>
    <w:multiLevelType w:val="multilevel"/>
    <w:tmpl w:val="6DBC3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BA"/>
    <w:rsid w:val="00001D90"/>
    <w:rsid w:val="00011F8F"/>
    <w:rsid w:val="00090298"/>
    <w:rsid w:val="000A2D7E"/>
    <w:rsid w:val="000D6AA7"/>
    <w:rsid w:val="001B2B6B"/>
    <w:rsid w:val="003B66A0"/>
    <w:rsid w:val="003F4FE3"/>
    <w:rsid w:val="00454481"/>
    <w:rsid w:val="004939FA"/>
    <w:rsid w:val="004D53CC"/>
    <w:rsid w:val="005A3DEF"/>
    <w:rsid w:val="007845B8"/>
    <w:rsid w:val="007F7394"/>
    <w:rsid w:val="008D03AD"/>
    <w:rsid w:val="00932571"/>
    <w:rsid w:val="009A433B"/>
    <w:rsid w:val="00A20130"/>
    <w:rsid w:val="00A95EDA"/>
    <w:rsid w:val="00BC1B53"/>
    <w:rsid w:val="00BF73E9"/>
    <w:rsid w:val="00D165CF"/>
    <w:rsid w:val="00D42A5E"/>
    <w:rsid w:val="00D74DEF"/>
    <w:rsid w:val="00F37C19"/>
    <w:rsid w:val="00F907BA"/>
    <w:rsid w:val="00FD5905"/>
    <w:rsid w:val="00FE7CB1"/>
    <w:rsid w:val="00FF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A7BC98"/>
  <w14:defaultImageDpi w14:val="32767"/>
  <w15:chartTrackingRefBased/>
  <w15:docId w15:val="{A4AF436F-DF0F-2341-9448-1FE9E5C1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7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20969">
      <w:bodyDiv w:val="1"/>
      <w:marLeft w:val="0"/>
      <w:marRight w:val="0"/>
      <w:marTop w:val="0"/>
      <w:marBottom w:val="0"/>
      <w:divBdr>
        <w:top w:val="none" w:sz="0" w:space="0" w:color="auto"/>
        <w:left w:val="none" w:sz="0" w:space="0" w:color="auto"/>
        <w:bottom w:val="none" w:sz="0" w:space="0" w:color="auto"/>
        <w:right w:val="none" w:sz="0" w:space="0" w:color="auto"/>
      </w:divBdr>
      <w:divsChild>
        <w:div w:id="320548559">
          <w:marLeft w:val="0"/>
          <w:marRight w:val="0"/>
          <w:marTop w:val="0"/>
          <w:marBottom w:val="0"/>
          <w:divBdr>
            <w:top w:val="none" w:sz="0" w:space="0" w:color="auto"/>
            <w:left w:val="none" w:sz="0" w:space="0" w:color="auto"/>
            <w:bottom w:val="none" w:sz="0" w:space="0" w:color="auto"/>
            <w:right w:val="none" w:sz="0" w:space="0" w:color="auto"/>
          </w:divBdr>
          <w:divsChild>
            <w:div w:id="986015431">
              <w:marLeft w:val="0"/>
              <w:marRight w:val="0"/>
              <w:marTop w:val="0"/>
              <w:marBottom w:val="0"/>
              <w:divBdr>
                <w:top w:val="none" w:sz="0" w:space="0" w:color="auto"/>
                <w:left w:val="none" w:sz="0" w:space="0" w:color="auto"/>
                <w:bottom w:val="none" w:sz="0" w:space="0" w:color="auto"/>
                <w:right w:val="none" w:sz="0" w:space="0" w:color="auto"/>
              </w:divBdr>
              <w:divsChild>
                <w:div w:id="225454985">
                  <w:marLeft w:val="0"/>
                  <w:marRight w:val="0"/>
                  <w:marTop w:val="0"/>
                  <w:marBottom w:val="0"/>
                  <w:divBdr>
                    <w:top w:val="none" w:sz="0" w:space="0" w:color="auto"/>
                    <w:left w:val="none" w:sz="0" w:space="0" w:color="auto"/>
                    <w:bottom w:val="none" w:sz="0" w:space="0" w:color="auto"/>
                    <w:right w:val="none" w:sz="0" w:space="0" w:color="auto"/>
                  </w:divBdr>
                </w:div>
              </w:divsChild>
            </w:div>
            <w:div w:id="1547833126">
              <w:marLeft w:val="0"/>
              <w:marRight w:val="0"/>
              <w:marTop w:val="0"/>
              <w:marBottom w:val="0"/>
              <w:divBdr>
                <w:top w:val="none" w:sz="0" w:space="0" w:color="auto"/>
                <w:left w:val="none" w:sz="0" w:space="0" w:color="auto"/>
                <w:bottom w:val="none" w:sz="0" w:space="0" w:color="auto"/>
                <w:right w:val="none" w:sz="0" w:space="0" w:color="auto"/>
              </w:divBdr>
              <w:divsChild>
                <w:div w:id="531529042">
                  <w:marLeft w:val="0"/>
                  <w:marRight w:val="0"/>
                  <w:marTop w:val="0"/>
                  <w:marBottom w:val="0"/>
                  <w:divBdr>
                    <w:top w:val="none" w:sz="0" w:space="0" w:color="auto"/>
                    <w:left w:val="none" w:sz="0" w:space="0" w:color="auto"/>
                    <w:bottom w:val="none" w:sz="0" w:space="0" w:color="auto"/>
                    <w:right w:val="none" w:sz="0" w:space="0" w:color="auto"/>
                  </w:divBdr>
                </w:div>
              </w:divsChild>
            </w:div>
            <w:div w:id="1068958353">
              <w:marLeft w:val="0"/>
              <w:marRight w:val="0"/>
              <w:marTop w:val="0"/>
              <w:marBottom w:val="0"/>
              <w:divBdr>
                <w:top w:val="none" w:sz="0" w:space="0" w:color="auto"/>
                <w:left w:val="none" w:sz="0" w:space="0" w:color="auto"/>
                <w:bottom w:val="none" w:sz="0" w:space="0" w:color="auto"/>
                <w:right w:val="none" w:sz="0" w:space="0" w:color="auto"/>
              </w:divBdr>
              <w:divsChild>
                <w:div w:id="807014122">
                  <w:marLeft w:val="0"/>
                  <w:marRight w:val="0"/>
                  <w:marTop w:val="0"/>
                  <w:marBottom w:val="0"/>
                  <w:divBdr>
                    <w:top w:val="none" w:sz="0" w:space="0" w:color="auto"/>
                    <w:left w:val="none" w:sz="0" w:space="0" w:color="auto"/>
                    <w:bottom w:val="none" w:sz="0" w:space="0" w:color="auto"/>
                    <w:right w:val="none" w:sz="0" w:space="0" w:color="auto"/>
                  </w:divBdr>
                </w:div>
                <w:div w:id="824124003">
                  <w:marLeft w:val="0"/>
                  <w:marRight w:val="0"/>
                  <w:marTop w:val="0"/>
                  <w:marBottom w:val="0"/>
                  <w:divBdr>
                    <w:top w:val="none" w:sz="0" w:space="0" w:color="auto"/>
                    <w:left w:val="none" w:sz="0" w:space="0" w:color="auto"/>
                    <w:bottom w:val="none" w:sz="0" w:space="0" w:color="auto"/>
                    <w:right w:val="none" w:sz="0" w:space="0" w:color="auto"/>
                  </w:divBdr>
                </w:div>
              </w:divsChild>
            </w:div>
            <w:div w:id="93866042">
              <w:marLeft w:val="0"/>
              <w:marRight w:val="0"/>
              <w:marTop w:val="0"/>
              <w:marBottom w:val="0"/>
              <w:divBdr>
                <w:top w:val="none" w:sz="0" w:space="0" w:color="auto"/>
                <w:left w:val="none" w:sz="0" w:space="0" w:color="auto"/>
                <w:bottom w:val="none" w:sz="0" w:space="0" w:color="auto"/>
                <w:right w:val="none" w:sz="0" w:space="0" w:color="auto"/>
              </w:divBdr>
              <w:divsChild>
                <w:div w:id="77866247">
                  <w:marLeft w:val="0"/>
                  <w:marRight w:val="0"/>
                  <w:marTop w:val="0"/>
                  <w:marBottom w:val="0"/>
                  <w:divBdr>
                    <w:top w:val="none" w:sz="0" w:space="0" w:color="auto"/>
                    <w:left w:val="none" w:sz="0" w:space="0" w:color="auto"/>
                    <w:bottom w:val="none" w:sz="0" w:space="0" w:color="auto"/>
                    <w:right w:val="none" w:sz="0" w:space="0" w:color="auto"/>
                  </w:divBdr>
                </w:div>
              </w:divsChild>
            </w:div>
            <w:div w:id="710345091">
              <w:marLeft w:val="0"/>
              <w:marRight w:val="0"/>
              <w:marTop w:val="0"/>
              <w:marBottom w:val="0"/>
              <w:divBdr>
                <w:top w:val="none" w:sz="0" w:space="0" w:color="auto"/>
                <w:left w:val="none" w:sz="0" w:space="0" w:color="auto"/>
                <w:bottom w:val="none" w:sz="0" w:space="0" w:color="auto"/>
                <w:right w:val="none" w:sz="0" w:space="0" w:color="auto"/>
              </w:divBdr>
              <w:divsChild>
                <w:div w:id="1558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9783">
          <w:marLeft w:val="0"/>
          <w:marRight w:val="0"/>
          <w:marTop w:val="0"/>
          <w:marBottom w:val="0"/>
          <w:divBdr>
            <w:top w:val="none" w:sz="0" w:space="0" w:color="auto"/>
            <w:left w:val="none" w:sz="0" w:space="0" w:color="auto"/>
            <w:bottom w:val="none" w:sz="0" w:space="0" w:color="auto"/>
            <w:right w:val="none" w:sz="0" w:space="0" w:color="auto"/>
          </w:divBdr>
          <w:divsChild>
            <w:div w:id="387804635">
              <w:marLeft w:val="0"/>
              <w:marRight w:val="0"/>
              <w:marTop w:val="0"/>
              <w:marBottom w:val="0"/>
              <w:divBdr>
                <w:top w:val="none" w:sz="0" w:space="0" w:color="auto"/>
                <w:left w:val="none" w:sz="0" w:space="0" w:color="auto"/>
                <w:bottom w:val="none" w:sz="0" w:space="0" w:color="auto"/>
                <w:right w:val="none" w:sz="0" w:space="0" w:color="auto"/>
              </w:divBdr>
              <w:divsChild>
                <w:div w:id="1629165343">
                  <w:marLeft w:val="0"/>
                  <w:marRight w:val="0"/>
                  <w:marTop w:val="0"/>
                  <w:marBottom w:val="0"/>
                  <w:divBdr>
                    <w:top w:val="none" w:sz="0" w:space="0" w:color="auto"/>
                    <w:left w:val="none" w:sz="0" w:space="0" w:color="auto"/>
                    <w:bottom w:val="none" w:sz="0" w:space="0" w:color="auto"/>
                    <w:right w:val="none" w:sz="0" w:space="0" w:color="auto"/>
                  </w:divBdr>
                </w:div>
              </w:divsChild>
            </w:div>
            <w:div w:id="1190340416">
              <w:marLeft w:val="0"/>
              <w:marRight w:val="0"/>
              <w:marTop w:val="0"/>
              <w:marBottom w:val="0"/>
              <w:divBdr>
                <w:top w:val="none" w:sz="0" w:space="0" w:color="auto"/>
                <w:left w:val="none" w:sz="0" w:space="0" w:color="auto"/>
                <w:bottom w:val="none" w:sz="0" w:space="0" w:color="auto"/>
                <w:right w:val="none" w:sz="0" w:space="0" w:color="auto"/>
              </w:divBdr>
              <w:divsChild>
                <w:div w:id="432558948">
                  <w:marLeft w:val="0"/>
                  <w:marRight w:val="0"/>
                  <w:marTop w:val="0"/>
                  <w:marBottom w:val="0"/>
                  <w:divBdr>
                    <w:top w:val="none" w:sz="0" w:space="0" w:color="auto"/>
                    <w:left w:val="none" w:sz="0" w:space="0" w:color="auto"/>
                    <w:bottom w:val="none" w:sz="0" w:space="0" w:color="auto"/>
                    <w:right w:val="none" w:sz="0" w:space="0" w:color="auto"/>
                  </w:divBdr>
                </w:div>
                <w:div w:id="1225600238">
                  <w:marLeft w:val="0"/>
                  <w:marRight w:val="0"/>
                  <w:marTop w:val="0"/>
                  <w:marBottom w:val="0"/>
                  <w:divBdr>
                    <w:top w:val="none" w:sz="0" w:space="0" w:color="auto"/>
                    <w:left w:val="none" w:sz="0" w:space="0" w:color="auto"/>
                    <w:bottom w:val="none" w:sz="0" w:space="0" w:color="auto"/>
                    <w:right w:val="none" w:sz="0" w:space="0" w:color="auto"/>
                  </w:divBdr>
                </w:div>
              </w:divsChild>
            </w:div>
            <w:div w:id="444080085">
              <w:marLeft w:val="0"/>
              <w:marRight w:val="0"/>
              <w:marTop w:val="0"/>
              <w:marBottom w:val="0"/>
              <w:divBdr>
                <w:top w:val="none" w:sz="0" w:space="0" w:color="auto"/>
                <w:left w:val="none" w:sz="0" w:space="0" w:color="auto"/>
                <w:bottom w:val="none" w:sz="0" w:space="0" w:color="auto"/>
                <w:right w:val="none" w:sz="0" w:space="0" w:color="auto"/>
              </w:divBdr>
              <w:divsChild>
                <w:div w:id="1244953116">
                  <w:marLeft w:val="0"/>
                  <w:marRight w:val="0"/>
                  <w:marTop w:val="0"/>
                  <w:marBottom w:val="0"/>
                  <w:divBdr>
                    <w:top w:val="none" w:sz="0" w:space="0" w:color="auto"/>
                    <w:left w:val="none" w:sz="0" w:space="0" w:color="auto"/>
                    <w:bottom w:val="none" w:sz="0" w:space="0" w:color="auto"/>
                    <w:right w:val="none" w:sz="0" w:space="0" w:color="auto"/>
                  </w:divBdr>
                </w:div>
                <w:div w:id="860318798">
                  <w:marLeft w:val="0"/>
                  <w:marRight w:val="0"/>
                  <w:marTop w:val="0"/>
                  <w:marBottom w:val="0"/>
                  <w:divBdr>
                    <w:top w:val="none" w:sz="0" w:space="0" w:color="auto"/>
                    <w:left w:val="none" w:sz="0" w:space="0" w:color="auto"/>
                    <w:bottom w:val="none" w:sz="0" w:space="0" w:color="auto"/>
                    <w:right w:val="none" w:sz="0" w:space="0" w:color="auto"/>
                  </w:divBdr>
                </w:div>
              </w:divsChild>
            </w:div>
            <w:div w:id="37241629">
              <w:marLeft w:val="0"/>
              <w:marRight w:val="0"/>
              <w:marTop w:val="0"/>
              <w:marBottom w:val="0"/>
              <w:divBdr>
                <w:top w:val="none" w:sz="0" w:space="0" w:color="auto"/>
                <w:left w:val="none" w:sz="0" w:space="0" w:color="auto"/>
                <w:bottom w:val="none" w:sz="0" w:space="0" w:color="auto"/>
                <w:right w:val="none" w:sz="0" w:space="0" w:color="auto"/>
              </w:divBdr>
              <w:divsChild>
                <w:div w:id="1044062977">
                  <w:marLeft w:val="0"/>
                  <w:marRight w:val="0"/>
                  <w:marTop w:val="0"/>
                  <w:marBottom w:val="0"/>
                  <w:divBdr>
                    <w:top w:val="none" w:sz="0" w:space="0" w:color="auto"/>
                    <w:left w:val="none" w:sz="0" w:space="0" w:color="auto"/>
                    <w:bottom w:val="none" w:sz="0" w:space="0" w:color="auto"/>
                    <w:right w:val="none" w:sz="0" w:space="0" w:color="auto"/>
                  </w:divBdr>
                </w:div>
                <w:div w:id="35787387">
                  <w:marLeft w:val="0"/>
                  <w:marRight w:val="0"/>
                  <w:marTop w:val="0"/>
                  <w:marBottom w:val="0"/>
                  <w:divBdr>
                    <w:top w:val="none" w:sz="0" w:space="0" w:color="auto"/>
                    <w:left w:val="none" w:sz="0" w:space="0" w:color="auto"/>
                    <w:bottom w:val="none" w:sz="0" w:space="0" w:color="auto"/>
                    <w:right w:val="none" w:sz="0" w:space="0" w:color="auto"/>
                  </w:divBdr>
                </w:div>
              </w:divsChild>
            </w:div>
            <w:div w:id="1095370424">
              <w:marLeft w:val="0"/>
              <w:marRight w:val="0"/>
              <w:marTop w:val="0"/>
              <w:marBottom w:val="0"/>
              <w:divBdr>
                <w:top w:val="none" w:sz="0" w:space="0" w:color="auto"/>
                <w:left w:val="none" w:sz="0" w:space="0" w:color="auto"/>
                <w:bottom w:val="none" w:sz="0" w:space="0" w:color="auto"/>
                <w:right w:val="none" w:sz="0" w:space="0" w:color="auto"/>
              </w:divBdr>
              <w:divsChild>
                <w:div w:id="1414398020">
                  <w:marLeft w:val="0"/>
                  <w:marRight w:val="0"/>
                  <w:marTop w:val="0"/>
                  <w:marBottom w:val="0"/>
                  <w:divBdr>
                    <w:top w:val="none" w:sz="0" w:space="0" w:color="auto"/>
                    <w:left w:val="none" w:sz="0" w:space="0" w:color="auto"/>
                    <w:bottom w:val="none" w:sz="0" w:space="0" w:color="auto"/>
                    <w:right w:val="none" w:sz="0" w:space="0" w:color="auto"/>
                  </w:divBdr>
                </w:div>
              </w:divsChild>
            </w:div>
            <w:div w:id="1698849657">
              <w:marLeft w:val="0"/>
              <w:marRight w:val="0"/>
              <w:marTop w:val="0"/>
              <w:marBottom w:val="0"/>
              <w:divBdr>
                <w:top w:val="none" w:sz="0" w:space="0" w:color="auto"/>
                <w:left w:val="none" w:sz="0" w:space="0" w:color="auto"/>
                <w:bottom w:val="none" w:sz="0" w:space="0" w:color="auto"/>
                <w:right w:val="none" w:sz="0" w:space="0" w:color="auto"/>
              </w:divBdr>
              <w:divsChild>
                <w:div w:id="11681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cilla whatcott</dc:creator>
  <cp:keywords/>
  <dc:description/>
  <cp:lastModifiedBy>cilla whatcott</cp:lastModifiedBy>
  <cp:revision>1</cp:revision>
  <dcterms:created xsi:type="dcterms:W3CDTF">2020-12-26T18:46:00Z</dcterms:created>
  <dcterms:modified xsi:type="dcterms:W3CDTF">2020-12-26T18:48:00Z</dcterms:modified>
</cp:coreProperties>
</file>